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8807A6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8807A6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807A6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8807A6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8807A6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807A6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8807A6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B927C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>
              <w:rPr>
                <w:sz w:val="28"/>
                <w:szCs w:val="28"/>
                <w:u w:val="single"/>
              </w:rPr>
              <w:t xml:space="preserve">Специальный </w:t>
            </w:r>
            <w:proofErr w:type="spellStart"/>
            <w:r w:rsidR="00B927C4">
              <w:rPr>
                <w:sz w:val="28"/>
                <w:szCs w:val="28"/>
                <w:u w:val="single"/>
              </w:rPr>
              <w:t>дом-интернат</w:t>
            </w:r>
            <w:proofErr w:type="spellEnd"/>
            <w:r w:rsidR="00B927C4">
              <w:rPr>
                <w:sz w:val="28"/>
                <w:szCs w:val="28"/>
                <w:u w:val="single"/>
              </w:rPr>
              <w:t xml:space="preserve"> для престарелых и инвалидов в </w:t>
            </w:r>
            <w:proofErr w:type="gramStart"/>
            <w:r w:rsidR="00B927C4">
              <w:rPr>
                <w:sz w:val="28"/>
                <w:szCs w:val="28"/>
                <w:u w:val="single"/>
              </w:rPr>
              <w:t>с</w:t>
            </w:r>
            <w:proofErr w:type="gramEnd"/>
            <w:r w:rsidR="00B927C4">
              <w:rPr>
                <w:sz w:val="28"/>
                <w:szCs w:val="28"/>
                <w:u w:val="single"/>
              </w:rPr>
              <w:t>. Репьевка Колхозная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DB3264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8807A6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8807A6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8807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807A6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807A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807A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8807A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807A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807A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927C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927C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B9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Специальный </w:t>
            </w:r>
            <w:proofErr w:type="spellStart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дом-интернат</w:t>
            </w:r>
            <w:proofErr w:type="spellEnd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престарелых и инвалидов в </w:t>
            </w:r>
            <w:proofErr w:type="gramStart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Репьевка Колхозная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927C4" w:rsidRDefault="00B927C4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B927C4" w:rsidRDefault="00B927C4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8807A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0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8807A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0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807A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8807A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0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8807A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0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8807A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0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64" w:rsidRDefault="00DB3264" w:rsidP="00D721D9">
      <w:pPr>
        <w:spacing w:after="0" w:line="240" w:lineRule="auto"/>
      </w:pPr>
      <w:r>
        <w:separator/>
      </w:r>
    </w:p>
  </w:endnote>
  <w:endnote w:type="continuationSeparator" w:id="0">
    <w:p w:rsidR="00DB3264" w:rsidRDefault="00DB326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1" w:rsidRPr="00694AB9" w:rsidRDefault="00CB363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64" w:rsidRDefault="00DB3264" w:rsidP="00D721D9">
      <w:pPr>
        <w:spacing w:after="0" w:line="240" w:lineRule="auto"/>
      </w:pPr>
      <w:r>
        <w:separator/>
      </w:r>
    </w:p>
  </w:footnote>
  <w:footnote w:type="continuationSeparator" w:id="0">
    <w:p w:rsidR="00DB3264" w:rsidRDefault="00DB326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631" w:rsidRPr="00815091" w:rsidRDefault="00CB36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7A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07A6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27C4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B3264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5F3-DAB4-48BD-8422-BAAEA421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33</cp:revision>
  <cp:lastPrinted>2015-12-29T14:23:00Z</cp:lastPrinted>
  <dcterms:created xsi:type="dcterms:W3CDTF">2015-09-25T06:34:00Z</dcterms:created>
  <dcterms:modified xsi:type="dcterms:W3CDTF">2016-06-28T05:54:00Z</dcterms:modified>
</cp:coreProperties>
</file>