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C4" w:rsidRPr="00E53877" w:rsidRDefault="00147DC4" w:rsidP="00147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147DC4" w:rsidRPr="00E53877" w:rsidRDefault="00147DC4" w:rsidP="00147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47DC4" w:rsidRPr="00E53877" w:rsidRDefault="00147DC4" w:rsidP="00147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декабря 2012 года N 575</w:t>
      </w:r>
    </w:p>
    <w:p w:rsidR="00147DC4" w:rsidRPr="00E53877" w:rsidRDefault="00147DC4" w:rsidP="00147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E5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147DC4" w:rsidRPr="00E53877" w:rsidRDefault="00147DC4" w:rsidP="00147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5 апреля 2016 года)</w:t>
      </w:r>
    </w:p>
    <w:p w:rsidR="00E53877" w:rsidRDefault="00147DC4" w:rsidP="00E53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E5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 декабря 2015 года N 1297 "Об утверждении государственной программы Российской Федерации "Доступная среда" на 2011-2020 годы"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2015, N 49, ст.6987)</w:t>
      </w:r>
      <w:r w:rsidR="00E53877"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(Преамбула 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7" w:history="1">
        <w:r w:rsidRPr="00E53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proofErr w:type="gramEnd"/>
    </w:p>
    <w:p w:rsidR="00147DC4" w:rsidRPr="00E53877" w:rsidRDefault="00147DC4" w:rsidP="00E53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примерную программу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согласно </w:t>
      </w:r>
      <w:hyperlink r:id="rId8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  <w:proofErr w:type="spellEnd"/>
    </w:p>
    <w:p w:rsidR="00E53877" w:rsidRDefault="00E53877" w:rsidP="00147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B9A" w:rsidRDefault="00285B9A" w:rsidP="00147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B9A" w:rsidRDefault="00285B9A" w:rsidP="00147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B9A" w:rsidRDefault="00285B9A" w:rsidP="00147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B9A" w:rsidRDefault="00285B9A" w:rsidP="00147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B9A" w:rsidRDefault="00285B9A" w:rsidP="00147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B9A" w:rsidRDefault="00285B9A" w:rsidP="00147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B9A" w:rsidRDefault="00285B9A" w:rsidP="00147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B9A" w:rsidRDefault="00285B9A" w:rsidP="00147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B9A" w:rsidRDefault="00285B9A" w:rsidP="00147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B9A" w:rsidRDefault="00285B9A" w:rsidP="00147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B9A" w:rsidRPr="00E53877" w:rsidRDefault="00285B9A" w:rsidP="00147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DC4" w:rsidRPr="00E53877" w:rsidRDefault="00147DC4" w:rsidP="00147D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Минтруда России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декабря 2012 года N 575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изменениями на 5 апреля 2016 года)</w:t>
      </w:r>
    </w:p>
    <w:p w:rsidR="00147DC4" w:rsidRPr="00E53877" w:rsidRDefault="00147DC4" w:rsidP="00147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____________ годы  </w:t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5904"/>
      </w:tblGrid>
      <w:tr w:rsidR="00E53877" w:rsidRPr="00E53877" w:rsidTr="00147DC4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субъекта Российской Федерации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"Доступная среда" на ___________ годы</w:t>
            </w:r>
            <w:r w:rsidRPr="00E53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8CD005" wp14:editId="36154CB9">
                      <wp:extent cx="85725" cy="219075"/>
                      <wp:effectExtent l="0" t="0" r="0" b="0"/>
                      <wp:docPr id="22" name="Прямоугольник 22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2D2740" wp14:editId="6147BE7B">
                      <wp:extent cx="85725" cy="219075"/>
                      <wp:effectExtent l="0" t="0" r="0" b="0"/>
                      <wp:docPr id="21" name="Прямоугольник 21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увязанных между собой по содержанию, срокам, исполнителям, ресурсам мероприятий, направленных на достижение единой цели, решение общей проблемы.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разработки Программы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Концепция долгосрочного социально-экономического развития Российской Федерации на период до 2020 года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</w:t>
            </w:r>
            <w:hyperlink r:id="rId10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17 ноября 2008 года N 1662-р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 декабря 2015 года N 1297 "Об утверждении государственной программы Российской Федерации "Доступная среда" на 2011-2020 годы"</w:t>
              </w:r>
            </w:hyperlink>
          </w:p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Государственная программа);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Концепция социально-экономического развития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высшего исполнительного органа государственной власти субъекта Российской Федерации о порядке разработки, утверждения, реализации и контроля исполнения целевых программ;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нормативные правовые акты и организационно-распорядительные документы субъекта Российской Федерации о разработке Программы 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</w:t>
            </w:r>
            <w:hyperlink r:id="rId12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приказом Минтруда России от 21 мая 2014 года N 343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</w:t>
            </w:r>
            <w:hyperlink r:id="rId13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приказом Минтруда России от 5 апреля 2016 года N 149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53877" w:rsidRPr="00E53877" w:rsidTr="00147DC4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исполнительный орган государственной власти (далее - ИОГВ) субъекта Российской Федерации в сфере социальной защиты, обеспечивающий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реализацию Программы, осуществляющий координацию ИОГВ, участвующих в реализации одного или нескольких основных мероприятий Программы (далее - соисполнители Программы), в процессе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и оценки эффективности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Соисполнители Программы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ИОГВ субъекта Российской Федерации в сфере здравоохранения;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ИОГВ субъекта Российской Федерации в сфере образования;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ИОГВ субъекта Российской Федерации в сфере труда и занятости населения;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ИОГВ субъекта Российской Федерации в сфере физической культуры и спорта;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ИОГВ субъекта Российской Федерации в сфере культуры;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ИОГВ субъекта Российской Федерации в сфере жилищной политики;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ИОГВ субъекта Российской Федерации в сфере информации и связи;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ИОГВ субъекта Российской Федерации в сфере транспорта;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ИОГВ субъекта Российской Федерации в сфере благоустройства и дорожного хозяйства.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субъекте Российской Федерации 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</w:t>
            </w:r>
            <w:hyperlink r:id="rId14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приказом Минтруда России от 5 апреля 2016 года N 149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E53877" w:rsidRPr="00E53877" w:rsidTr="00147DC4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условий для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просвещенности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вопросах инвалидности и устранения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барьеров в субъекте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приоритетных сферах жизнедеятельности инвалидов и других МГН в субъекте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субъекте Российской Федерации 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в редакции,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</w:t>
            </w:r>
            <w:hyperlink r:id="rId15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приказом Минтруда России от 5 апреля 2016 года N 149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53877" w:rsidRPr="00E53877" w:rsidTr="00147DC4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Программы (в соответствии с показателями Государственной программы)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доля инвалидов, положительно оценивающих отношение населения к проблемам инвалидов, в общей 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опрошенных инвалидов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доля приоритетных объектов и услуг в приоритетных сферах жизнедеятельности инвалидов,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нанесенных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карту доступности</w:t>
            </w:r>
            <w:r w:rsidRPr="00E53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6354AB" wp14:editId="35B3F1BF">
                      <wp:extent cx="104775" cy="219075"/>
                      <wp:effectExtent l="0" t="0" r="0" b="0"/>
                      <wp:docPr id="20" name="Прямоугольник 20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PuD92vrAwAAngcAAA4AAAAAAAAAAAAAAAAALgIAAGRycy9lMm9Eb2MueG1s&#10;UEsBAi0AFAAGAAgAAAAhABK7BZvcAAAAAwEAAA8AAAAAAAAAAAAAAAAARQYAAGRycy9kb3ducmV2&#10;LnhtbFBLBQYAAAAABAAEAPMAAABO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 по результатам их паспортизации</w:t>
            </w:r>
            <w:r w:rsidRPr="00E53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4E0D1E" wp14:editId="745A24D7">
                      <wp:extent cx="104775" cy="219075"/>
                      <wp:effectExtent l="0" t="0" r="0" b="0"/>
                      <wp:docPr id="19" name="Прямоугольник 19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Hd01jnrAwAAngcAAA4AAAAAAAAAAAAAAAAALgIAAGRycy9lMm9Eb2MueG1s&#10;UEsBAi0AFAAGAAgAAAAhABK7BZvcAAAAAwEAAA8AAAAAAAAAAAAAAAAARQYAAGRycy9kb3ducmV2&#10;LnhtbFBLBQYAAAAABAAEAPMAAABO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среди всех приоритетных объектов и услуг;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44505B" wp14:editId="74CB7D76">
                      <wp:extent cx="104775" cy="219075"/>
                      <wp:effectExtent l="0" t="0" r="0" b="0"/>
                      <wp:docPr id="18" name="Прямоугольник 18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UBOck6QMAAJ4HAAAOAAAAAAAAAAAAAAAAAC4CAABkcnMvZTJvRG9jLnhtbFBL&#10;AQItABQABgAIAAAAIQASuwWb3AAAAAMBAAAPAAAAAAAAAAAAAAAAAEMGAABkcnMvZG93bnJldi54&#10;bWxQSwUGAAAAAAQABADzAAAAT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размещенная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графическим отображением значимых приоритетных объектов и услуг на территории субъекта Российской Федерации по степени их доступности для инвалидов и других МГН. С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рекомендации методики формирования и обновления карт доступности объектов и услуг, разрабатываемой Министерством труда и социальной защиты Российской Федерации в рамках реализации Государственной программы.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98FFDE" wp14:editId="319CC5FC">
                      <wp:extent cx="104775" cy="219075"/>
                      <wp:effectExtent l="0" t="0" r="0" b="0"/>
                      <wp:docPr id="17" name="Прямоугольник 17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CXW+p7rAwAAngcAAA4AAAAAAAAAAAAAAAAALgIAAGRycy9lMm9Eb2MueG1s&#10;UEsBAi0AFAAGAAgAAAAhABK7BZvcAAAAAwEAAA8AAAAAAAAAAAAAAAAARQYAAGRycy9kb3ducmV2&#10;LnhtbFBLBQYAAAAABAAEAPMAAABO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работы по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учету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оценке состояния доступности объектов и оказываемых в них услуг с целью разработки рекомендаций об адаптации для инвалидов и других МГН (предусматривает регистрацию данных в паспорте доступности объекта социальной инфраструктуры), организованной с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рекомендаций методики паспортизации и классификации объектов и услуг с целью их объективной оценки для разработки мер, обеспечивающих их доступность, разрабатываемой Министерством труда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социальной защиты Российской Федерации в рамках реализации Государственной программы.</w:t>
            </w:r>
          </w:p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642252" wp14:editId="2A859276">
                      <wp:extent cx="104775" cy="219075"/>
                      <wp:effectExtent l="0" t="0" r="0" b="0"/>
                      <wp:docPr id="16" name="Прямоугольник 16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Eamy4PrAwAAngcAAA4AAAAAAAAAAAAAAAAALgIAAGRycy9lMm9Eb2MueG1s&#10;UEsBAi0AFAAGAAgAAAAhABK7BZvcAAAAAwEAAA8AAAAAAAAAAAAAAAAARQYAAGRycy9kb3ducmV2&#10;LnhtbFBLBQYAAAAABAAEAPMAAABO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Сноска исключена - </w:t>
            </w:r>
            <w:hyperlink r:id="rId16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России от 5 апреля 2016 года N 149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53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1507735" wp14:editId="66FA0AE3">
                      <wp:extent cx="104775" cy="219075"/>
                      <wp:effectExtent l="0" t="0" r="0" b="0"/>
                      <wp:docPr id="15" name="Прямоугольник 15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OM2mKTrAwAAngcAAA4AAAAAAAAAAAAAAAAALgIAAGRycy9lMm9Eb2MueG1s&#10;UEsBAi0AFAAGAAgAAAAhABK7BZvcAAAAAwEAAA8AAAAAAAAAAAAAAAAARQYAAGRycy9kb3ducmV2&#10;LnhtbFBLBQYAAAAABAAEAPMAAABO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Сноска исключена - </w:t>
            </w:r>
            <w:hyperlink r:id="rId17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России от 5 апреля 2016 года N 149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80901E" wp14:editId="5C2586B8">
                      <wp:extent cx="104775" cy="219075"/>
                      <wp:effectExtent l="0" t="0" r="0" b="0"/>
                      <wp:docPr id="14" name="Прямоугольник 14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IBGqbnrAwAAngcAAA4AAAAAAAAAAAAAAAAALgIAAGRycy9lMm9Eb2MueG1s&#10;UEsBAi0AFAAGAAgAAAAhABK7BZvcAAAAAwEAAA8AAAAAAAAAAAAAAAAARQYAAGRycy9kb3ducmV2&#10;LnhtbFBLBQYAAAAABAAEAPMAAABO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Сноска исключена - </w:t>
            </w:r>
            <w:hyperlink r:id="rId18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России от 5 апреля 2016 года N 149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C50C0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субъекта Российской Федерации;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доля детей-инвалидов в возрасте от 5 до 18 лет, получающих дополнительное образование, в общей численности детей-инвалидов данного возраста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доля приоритетных объектов органов службы занятости, доступных для инвалидов и других МГН, в общем количестве 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органов службы занятости субъекта Российской Федерации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9) доля дошкольных образовательных организаций, в которых создана универсальная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в общем количестве дошкольных образовательных организаций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доля детей-инвалидов в возрасте от 1,5 до 7 лет, охваченных дошкольным образованием, в общей численности детей-инвалидов данного возраста субъекта Российской Федерации;</w:t>
            </w:r>
            <w:proofErr w:type="gramEnd"/>
          </w:p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доля общеобразовательных организаций, в которых создана универсальная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12) доля приоритетных объектов, доступных для инвалидов и других МГН в сфере культуры, в общем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 приоритетных объектов в сфере культуры субъекта Российской Федерации;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МГН, в парке этого подвижного состава (автобусного, трамвайного, троллейбусного)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14) доля станций метро, доступных для инвалидов и других МГН, в общем количестве станций метро (при наличии данного вида транспорта в субъекте Российской Федерации) субъекта Российской Федерации;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15)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субъекта Российской Федерации;</w:t>
            </w:r>
          </w:p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17) доля приоритетных объектов, доступных для инвалидов и других МГН в сфере физической культуры и спорта, в общем количестве приоритетных объектов субъекта Российской Федерации;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18) доля граждан, признающих навыки, достоинства и способности инвалидов, в общей численности опрошенных граждан субъекта Российской Федерации.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Примечание. Целевые показатели (индикаторы) Программы 2, 3, 14, 18 могут быть использованы субъектом Российской Федерации.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в редакции,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</w:t>
            </w:r>
            <w:hyperlink r:id="rId19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приказом Минтруда России от 5 апреля 2016 года N 149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E53877" w:rsidRPr="00E53877" w:rsidTr="00147DC4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________________годы: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этап - 2013-2015;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этап - 2016-2018;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этап - 2019-2020.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Примечание. По усмотрению субъекта Российской Федерации может быть выделена иная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этапность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в редакции,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</w:t>
            </w:r>
            <w:hyperlink r:id="rId20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приказом Минтруда России от 5 апреля 2016 года N 149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53877" w:rsidRPr="00E53877" w:rsidTr="00147DC4">
        <w:trPr>
          <w:tblCellSpacing w:w="15" w:type="dxa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AE270C" wp14:editId="021CC7E9">
                      <wp:extent cx="104775" cy="219075"/>
                      <wp:effectExtent l="0" t="0" r="0" b="0"/>
                      <wp:docPr id="13" name="Прямоугольник 13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CpFz/q7AMAAJ4HAAAOAAAAAAAAAAAAAAAAAC4CAABkcnMvZTJvRG9jLnht&#10;bFBLAQItABQABgAIAAAAIQASuwWb3AAAAAMBAAAPAAAAAAAAAAAAAAAAAEYGAABkcnMvZG93bnJl&#10;di54bWxQSwUGAAAAAAQABADzAAAAT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Сноска исключена - </w:t>
            </w:r>
            <w:hyperlink r:id="rId21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России от 5 апреля 2016 года N 149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 финансирования Программы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объем финансирования реализации Программы составляет ____ тыс. рублей, из них: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2016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2017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2018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объем средств федерального бюджета, представляемых на реализацию мероприятий в сфере деятельности Минтруда России (прогноз) ____ тыс. рублей, из них: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2016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2017 году - _____ тыс. рублей;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объем средств федерального бюджета, представляемых на реализацию мероприятий в сфере деятельности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(прогноз) ____ тыс. рублей, из них: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2016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2017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2018 году - _____ тыс. рублей;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федерального бюджета, представляемых на реализацию мероприятий в сфере деятельности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(прогноз) ____ тыс. рублей, из них: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2016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2017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2018 году - _____ тыс. рублей.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Примечание. В случае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соответствии с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Программой субъекта Российской Федерации реализуются мероприятия, направленные на обеспечение доступности приоритетных объектов и услуг в приоритетных сферах жизнедеятельности инвалидов и других МГН (далее - мероприятия в сфере деятельности Минтруда России), и/или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для получения детьми-инвалидами качественного образования (далее - мероприятия в сфере деятельности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России), и/или поддержку учреждений спортивной направленности по адаптивной физической культуре и спорту (далее - мероприятия в сфере деятельности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России), то необходимо указать размер средств федерального бюджета в разбивке по годам, а также по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объемам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предусмотренным на мероприятия в сфере деятельности Минтруда России и/или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объем средств бюджета субъекта Российской Федерации ____ тыс. рублей, из них: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2016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2017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2018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Примечание.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усмотрению субъекта Российской Федерации может быть также выделен объем средств муниципальных бюджетов в разбивке по годам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средств из внебюджетных источников ____ тыс. рублей, из них: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2016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2017 году - _____ тыс. рублей;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2018 году - _____ тыс. рублей.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в редакции,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</w:t>
            </w:r>
            <w:hyperlink r:id="rId22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приказом Минтруда России от 5 апреля 2016 года N 149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53877" w:rsidRPr="00E53877" w:rsidTr="00147DC4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45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- 1) 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3)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субъекта Российской Федерации с целью размещения в информационно-телекоммуникационной сети "Интернет";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увеличение доли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субъекта Российской Федерации;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увеличение доли детей-инвалидов в возрасте от 5 до 18 лет, получающих дополнительное образование, в общей численности детей-инвалидов данного возраста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увеличение доли приоритетных объектов органов службы занятости, доступных для инвалидов и других МГН, в общем количестве 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органов службы занятости субъекта Российской Федерации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увеличение доли приоритетных объектов, доступных для инвалидов и других МГН в сфере здравоохранения, в общем количестве приоритетных объектов в сфере здравоохранения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9) увеличение доли дошкольных образовательных организаций, в которых создана универсальная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в общем количестве дошкольных образовательных организаций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увеличение доли детей-инвалидов в возрасте от 1,5 до 7 лет, охваченных дошкольным образованием, в общей численности детей-инвалидов данного возраста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11) увеличение доли общеобразовательных организаций, в которых создана универсальная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детей-инвалидов, в общем количестве общеобразовательных организаций субъекта Российской Федерации;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увеличение доли приоритетных объектов, доступных для инвалидов и других МГН в сфере культуры, в общем количестве приоритетных объектов в сфере культуры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13) увеличение доли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(автобусного, трамвайного, троллейбусного) субъекта Российской Федерации;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увеличение доли станций метро, доступных для инвалидов и других МГН, в общем количестве станций метро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15) увеличение доли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субъекта Российской Федерации;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увеличение доли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17) увеличение доли приоритетных объектов, доступных для инвалидов и других МГН в сфере физической культуры и спорта, в общем количестве приоритетных объектов субъекта Российской Федерации;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18) увеличение доли граждан, признающих навыки, достоинства и способности инвалидов, в общей численности опрошенных граждан субъекта Российской Федерации.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Примечание. Ожидаемые результаты реализации Программы 2, 3, 14, 18 могут быть использованы субъектом Российской Федерации.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в редакции,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</w:t>
            </w:r>
            <w:hyperlink r:id="rId23" w:history="1">
              <w:r w:rsidRPr="00E538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приказом Минтруда России от 5 апреля 2016 года N 149</w:t>
              </w:r>
            </w:hyperlink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147DC4" w:rsidRPr="00E53877" w:rsidRDefault="00147DC4" w:rsidP="00147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Характеристика проблемы и обоснование необходимости решения </w:t>
      </w:r>
      <w:proofErr w:type="spellStart"/>
      <w:r w:rsidRPr="00E5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</w:t>
      </w:r>
      <w:proofErr w:type="spellEnd"/>
      <w:r w:rsidRPr="00E5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программными методами</w:t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данном разделе примерной программы субъекта Российской Федерации по обеспечению доступности приоритетных объектов и услуг</w:t>
      </w:r>
      <w:r w:rsidRPr="00E53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2DF33D" wp14:editId="6ED92A79">
                <wp:extent cx="104775" cy="219075"/>
                <wp:effectExtent l="0" t="0" r="0" b="0"/>
                <wp:docPr id="12" name="Прямоугольник 12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MpnDvfrAwAAngcAAA4AAAAAAAAAAAAAAAAALgIAAGRycy9lMm9Eb2MueG1s&#10;UEsBAi0AFAAGAAgAAAAhABK7BZvcAAAAAwEAAA8AAAAAAAAAAAAAAAAARQYAAGRycy9kb3ducmV2&#10;LnhtbFBLBQYAAAAABAAEAPMAAABOBwAAAAA=&#10;" filled="f" stroked="f">
                <o:lock v:ext="edit" aspectratio="t"/>
                <w10:anchorlock/>
              </v:rect>
            </w:pict>
          </mc:Fallback>
        </mc:AlternateConten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приоритетных сферах жизнедеятельности</w:t>
      </w:r>
      <w:r w:rsidRPr="00E53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3F6775" wp14:editId="4770C4F3">
                <wp:extent cx="104775" cy="219075"/>
                <wp:effectExtent l="0" t="0" r="0" b="0"/>
                <wp:docPr id="11" name="Прямоугольник 11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G/3XdDrAwAAngcAAA4AAAAAAAAAAAAAAAAALgIAAGRycy9lMm9Eb2MueG1s&#10;UEsBAi0AFAAGAAgAAAAhABK7BZvcAAAAAwEAAA8AAAAAAAAAAAAAAAAARQYAAGRycy9kb3ducmV2&#10;LnhtbFBLBQYAAAAABAAEAPMAAABOBwAAAAA=&#10;" filled="f" stroked="f">
                <o:lock v:ext="edit" aspectratio="t"/>
                <w10:anchorlock/>
              </v:rect>
            </w:pict>
          </mc:Fallback>
        </mc:AlternateConten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и других маломобильных групп населения (далее соответственно - Программа субъектов Российской Федерации, МГН) описываются последовательно: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408920" wp14:editId="62D96B36">
                <wp:extent cx="104775" cy="219075"/>
                <wp:effectExtent l="0" t="0" r="0" b="0"/>
                <wp:docPr id="10" name="Прямоугольник 10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DIdszeoDAACeBwAADgAAAAAAAAAAAAAAAAAuAgAAZHJzL2Uyb0RvYy54bWxQ&#10;SwECLQAUAAYACAAAACEAErsFm9wAAAADAQAADwAAAAAAAAAAAAAAAABEBgAAZHJzL2Rvd25yZXYu&#10;eG1sUEsFBgAAAAAEAAQA8wAAAE0HAAAAAA==&#10;" filled="f" stroked="f">
                <o:lock v:ext="edit" aspectratio="t"/>
                <w10:anchorlock/>
              </v:rect>
            </w:pict>
          </mc:Fallback>
        </mc:AlternateConten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приоритетными объектами и услугами в соответствующей сфере понимаются наиболее значимые для инвалидов объекты и услуги, отобранные с участием представителей (не менее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общественных организаций инвалидов. 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объекты,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субъекта Российской Федерации, должны иметь паспорт объекта в соответствии с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рекомендаций методики паспортизации и классификации объектов и услуг с целью их объективной оценки для разработки мер, обеспечивающих их доступность, разрабатываемой Министерством труда и социальной защиты Российской Федерации в рамках реализации </w:t>
      </w:r>
      <w:hyperlink r:id="rId24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F2E79C" wp14:editId="06AC2238">
                <wp:extent cx="104775" cy="219075"/>
                <wp:effectExtent l="0" t="0" r="0" b="0"/>
                <wp:docPr id="9" name="Прямоугольник 9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l+LQcOoDAACcBwAADgAAAAAAAAAAAAAAAAAuAgAAZHJzL2Uyb0RvYy54bWxQ&#10;SwECLQAUAAYACAAAACEAErsFm9wAAAADAQAADwAAAAAAAAAAAAAAAABEBgAAZHJzL2Rvd25yZXYu&#10;eG1sUEsFBgAAAAAEAAQA8wAAAE0HAAAAAA==&#10;" filled="f" stroked="f">
                <o:lock v:ext="edit" aspectratio="t"/>
                <w10:anchorlock/>
              </v:rect>
            </w:pict>
          </mc:Fallback>
        </mc:AlternateConten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приоритетными сферами жизнедеятельности инвалидов и других МГН понимаются сферы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здравоохранение, социальная защита, занятость, спорт и физическая культура, информация и связь, культура, транспортная и пешеходная инфраструктура.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25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 для разработки Программы субъекта Российской Федерации (нормативные правовые акты федерального, регионального уровня, на основании которых или в соответствии с которыми разработана Программа субъекта Российской Федерации);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региональные проблемы в сфере реабилитации и социальной интеграции инвалидов, формирования для них доступной среды жизнедеятельности (включая аналитические данные, статистические демографические, социально-экономические показатели, их динамику; 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основных факторов, позитивно или негативно отражающихся на их состоянии и динамике; характеристика структуры, материально-технической базы, нормативно-правового, методического, информационного, кадрового обеспечения системы реабилитации и социальной интеграции инвалидов; данные о состоянии доступности приоритетных объектов социальной, транспортной инфраструктуры, информации и связи, а также доступности и качества услуг в приоритетных сферах жизнедеятельности, в том числе реабилитационных;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социологических исследований в предметной области; результаты ранее выполненных работ, в том числе в рамках подобных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территорриальных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ведомственных программ);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необходимость комплексного подхода к решению проблемы формирования (развития) доступной среды жизнедеятельности в субъекте Российской Федерации и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программно-целевым методом (необходимость эффективного межведомственного взаимодействия и координации 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ИОГВ и других участников формирования доступной среды жизнедеятельности, а также необходимость привлечения нескольких источников финансирования, в том числе средств федерального бюджета).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Цели, задачи и целевые показатели (индикаторы) Программы субъекта Российской Федерации</w:t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разделе: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указывается цель и задачи Программы субъекта Российской Федерации (в соответствии с </w:t>
      </w:r>
      <w:hyperlink r:id="rId26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распоряжением Правительства Российской Федерации от 17 ноября 2008 года N 1662-р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концепцией социально-экономического развития субъекта Российской Федерации,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правовым актом органа исполнительной власти субъекта Российской Федерации, целями и задачами </w:t>
      </w:r>
      <w:hyperlink r:id="rId28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и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Программы субъекта Российской Федерации должны обоснованно вытекать из результатов анализа проблемы и путей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описанных в </w:t>
      </w:r>
      <w:hyperlink r:id="rId29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разделе I "Характеристика проблемы и обоснование необходимости решения </w:t>
        </w:r>
        <w:proofErr w:type="spellStart"/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ее</w:t>
        </w:r>
        <w:proofErr w:type="spellEnd"/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программными методами"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приводятся формулировки цели и задач Программы субъекта Российской Федерации в полном соответствии с паспортом Программы субъекта Российской Федерации, а также описание или краткое обоснование каждой из задач, позволяющих достичь поставленной цели;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комплекс целевых показателей (индикаторов) Программы субъекта Российской Федерации, в который включаются, в первую очередь, показатели (индикаторы) </w:t>
      </w:r>
      <w:hyperlink r:id="rId30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результаты деятельности ИОГВ на уровне субъекта Российской Федерации</w:t>
      </w:r>
      <w:r w:rsidRPr="00E53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A969F4" wp14:editId="4252848A">
                <wp:extent cx="152400" cy="219075"/>
                <wp:effectExtent l="0" t="0" r="0" b="0"/>
                <wp:docPr id="8" name="Прямоугольник 8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" filled="f" stroked="f">
                <o:lock v:ext="edit" aspectratio="t"/>
                <w10:anchorlock/>
              </v:rect>
            </w:pict>
          </mc:Fallback>
        </mc:AlternateConten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B3863C" wp14:editId="6C319F69">
                <wp:extent cx="152400" cy="219075"/>
                <wp:effectExtent l="0" t="0" r="0" b="0"/>
                <wp:docPr id="7" name="Прямоугольник 7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" filled="f" stroked="f">
                <o:lock v:ext="edit" aspectratio="t"/>
                <w10:anchorlock/>
              </v:rect>
            </w:pict>
          </mc:Fallback>
        </mc:AlternateConten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(индикаторов) также может быть дополнен, расширен, конкретизирован (как по спектру объектов социальной инфраструктуры, так и реабилитационных и других социальных услуг, среди которых предполагается повысить показатели доступности и качества).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 при определении перечня целевых показателей (индикаторов) является их соответствие целям и задачам Программы субъекта Российской Федерации, а также возможность их объективной количественной оценки и сопоставимость, как в динамике по годам, так и с соответствующими показателям (индикаторам) </w:t>
      </w:r>
      <w:hyperlink r:id="rId31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описанных в этой части Программы субъекта Российской Федерации целевых показателей (индикаторов) отражается в паспорте Программы субъекта Российской Федерации.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целевых показателей (индикаторов) Программы субъекта Российской Федерации, применяемая для оценки результатов достижения поставленной цели и задач Программы субъекта Российской Федерации, предусмотрена </w:t>
      </w:r>
      <w:hyperlink r:id="rId32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приложением N 1 к настоящей Программе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перечень целевых показателей (индикаторов) Программы субъекта Российской Федерации должны быть включены обязательные показатели (индикаторы), полностью соответствующие аналогичным показателям (индикаторам) </w:t>
      </w:r>
      <w:hyperlink r:id="rId33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дополнительные показатели (индикаторы), как адаптированные для субъекта Российской Федерации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специально разработанные.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предложенные субъектом Российской Федерации целевые показатели (индикаторы) Программы субъекта Российской Федерации не входят в состав данных официальной статистики и требуют включения в перечень официальной статистической информации субъекта Российской Федерации, в дополнительных материалах к Программе субъекта Российской Федерации приводится их описание, содержащее наименования, единицы измерения и определения целевых показателей (индикаторов) Программы субъекта Российской Федерации, наблюдаемые и временные характеристики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характеристики разреза наблюдения, дополнительные характеристики, необходимые для описания показателей (индикаторов), алгоритм формирования и методические пояснения к показателям (индикаторов), а также указание ответственного за сбор и представление информации субъекта Российской Федерации официального статистического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Сроки и этапы реализации Программы субъекта Российской Федерации</w:t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данном разделе указываются сроки и (при наличии) этапы реализации Программы субъекта Российской Федерации в период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 Раздел также должен соответствовать паспорту Программы субъекта Российской Федерации.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Перечень программных мероприятий</w:t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разделе описывается комплекс программных мероприятий в последовательности, указанной в паспорте Программы субъекта Российской Федерации (далее - перечень мероприятий).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Разделы перечня мероприятий должны соответствовать задачам Программы субъекта Российской Федерации и включать мероприятия, направленные на решение соответствующей задачи. В этой связи структура и количество разделов и подразделов перечня мероприятий соответствуют количеству задач. При этом наименование каждого из разделов и подразделов перечня 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должно сопоставляться с соответствующей задачей Программы субъекта Российской Федерации.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разделы Программы субъекта Российской Федерации должны предусматривать комплексный подход к решению важнейшей социальной задачи - формированию равных возможностей для инвалидов во всех сферах жизни общества.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Программу субъекта Российской Федерации в соответствии с положениями </w:t>
      </w:r>
      <w:hyperlink r:id="rId34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включить 4 основных раздела, 2 из которых должны иметь два подраздела.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раздел должен включать комплекс мероприятий, направленных на формирование (или совершенствование имеющейся) нормативно-правовой базы и организационных механизмов развития системы реабилитации и социальной интеграции инвалидов, 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для них доступной среды жизнедеятельности, в том числе нормативно-правовой основы развития различных мер социальной поддержки инвалидов и их семей, мероприятий по обеспечению взаимодействия и координации деятельности участников этой системы (ИОГВ, государственных и негосударственных, в том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организаций инвалидов, граждан).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раздел также могут быть включены научно-методические мероприятия по разработке проектов нормативных и методических документов по проведению специальных социологических исследований, разработке программного обеспечения для автоматизации деятельности органов власти по паспортизации и классификации объектов и услуг, разработке управленческих решений и контролю их исполнения, формированию и обновлению карт доступности.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раздел должен включать комплекс практических мероприятий, и должен быть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подраздела: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 2.1 - мероприятия, направленные на повышение уровня доступности приоритетных объектов и услуг в приоритетных сферах жизнедеятельности, мероприятия направленные на определение уровня доступности, а также мероприятия по обустройству и приспособлению (далее - адаптация) указанных объектов и услуг (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ремонта, дооборудования техническими средствами адаптации, а также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альтернативного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предоставления услуг (дистанционная форма предоставления услуг, изменения режима работы и др.)</w:t>
      </w:r>
      <w:r w:rsidRPr="00E53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BD6379" wp14:editId="6A9DFB30">
                <wp:extent cx="142875" cy="219075"/>
                <wp:effectExtent l="0" t="0" r="0" b="0"/>
                <wp:docPr id="6" name="Прямоугольник 6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" filled="f" stroked="f">
                <o:lock v:ext="edit" aspectratio="t"/>
                <w10:anchorlock/>
              </v:rect>
            </w:pict>
          </mc:Fallback>
        </mc:AlternateConten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BA3F4C" wp14:editId="091B1ECE">
                <wp:extent cx="142875" cy="219075"/>
                <wp:effectExtent l="0" t="0" r="0" b="0"/>
                <wp:docPr id="5" name="Прямоугольник 5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" filled="f" stroked="f">
                <o:lock v:ext="edit" aspectratio="t"/>
                <w10:anchorlock/>
              </v:rect>
            </w:pict>
          </mc:Fallback>
        </mc:AlternateConten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повышение уровня доступности приоритетных объектов и услуг в приоритетных сферах жизнедеятельности включаются в Программу субъекта Российской Федерации на основе данных, полученных в результате системной паспортизации и классификации объектов социальной инфраструктуры и предоставляемых в них услуг, осуществляемой за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субъекта Российской Федерации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 2.2 - мероприятия, направленные на повышение доступности и качества реабилитационных услуг для инвалидов и детей-инвалидов, а также по содействию их социальной интеграции (через развитие спектра реабилитационных услуг и организационных форм их предоставления, технологий и методов работы).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реализации мероприятий по адаптации приоритетных объектов в приоритетных сферах жизнедеятельности инвалидов и других МГН, в том числе за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федерального бюджета, могут проводиться работы: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входах и путях движения к земельным участкам (например, устройство бордюрных пандусов, укладка тактильных полос, оборудование остановочных пунктов, наземных и подземных пешеходных переходов, закупка звукосигнальных светофоров);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специально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отведенных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парковочных местах для инвалидов (например, разметка места для стоянки автомашины, установка дополнительной информации (таблички) "Инвалид");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помещениях и их элементах: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входах и путях движения внутри зданий (например, расширение дверных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проемов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приобретение и установка пандусов,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подъемных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лифтов, размеры которых предназначены для пользования инвалидов на креслах-колясках, поручней перил на лестничных маршах, тактильных напольных указателей и нанесение контрастных полос);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санитарно-бытовых помещениях (например, расширение дверных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проемов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установка откидных опорных поручней, штанг, поворотных или откидных сидений, крючков для костылей; систем тревожной сигнализации, обеспечивающей связь с помещением постоянного дежурного персонала (поста охраны или администрации объекта).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внутри помещений и их элементов, в том числе за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федерального бюджета, могут проводиться следующие работы: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аудиовизуальных и информационных систем внутри зданий (информационные табло и пиктограммы, терминалы, "бегущие строки", звуковые и световые маяки, тактильные мнемосхемы со шрифтом Брайля, индукционные системы; кнопки вызова "помощника");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оборудование зон оказания услуг (понижение прилавков, окон обслуживания), мест повышенного удобства с дополнительным местом для собаки-поводыря или устройства для передвижения в местах ожидания и местах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приобретение кресел-колясок и/или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ступенькоходов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перемещения инвалидов, использующих указанные технические средства, внутри зданий и помещений организаций здравоохранения и социального обслуживания населения.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за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федерального бюджета могут реализовываться мероприятия по модернизации подвижного состава автомобильного и городского наземного электрического транспорта общего пользования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адаптированного для перевозки инвалидов и других МГН транспорта и/или оборудования имеющегося транспорта. При этом, адаптированный подвижной состав должен быть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специальными техническими средствами, включая откидную аппарель, сигнальные кнопки, светодиодное табло с бегущей строкой для уведомления о названиях остановочных пунктов по маршруту движения, а также устройства дополнительной визуализации речевой информации для инвалидов по слуху.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беспрепятственного доступа для инвалидов и других МГН в административные здания и служебные помещения необходимо осуществлять за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консолидированного бюджета субъекта Российской Федерации. При этом указанные объекты не включаются в перечень приоритетных объектов.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мероприятий по адаптации приоритетных объектов в приоритетных сферах жизнедеятельности инвалидов и других МГН следует руководствоваться </w:t>
      </w:r>
      <w:hyperlink r:id="rId47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30 декабря 2009 года N 384-ФЗ "Технический регламент о безопасности зданий и сооружений"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2010, N 1, ст.5;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2013, N 27, ст.3477), а также </w:t>
      </w:r>
      <w:hyperlink r:id="rId48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сводом правил СП 59.13330.2012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(актуализированная редакция </w:t>
      </w:r>
      <w:hyperlink r:id="rId49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СНиП 35.01.2001 "Доступность зданий и сооружений для маломобильных групп населения"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 должен включать комплекс информационных, просветительских, общественных мероприятий и должен быть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подраздела в зависимости от направленности мероприятий (целевой аудитории):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 3.1 - мероприятия по информационно-методическому обеспечению деятельности специалистов, задействованных в формировании доступной среды для инвалидов и других МГН (в виде подготовки и проведения семинаров, конференций, курсов повышения квалификации, подготовки и публикации справочных, учебно-методических пособий, рекомендаций);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3.2 - информационные и просветительские мероприятия, направленные на преодоление социальной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разобщенности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 и формирование позитивного отношения к проблеме обеспечения доступной среды жизнедеятельности для инвалидов и других МГН (в виде организации и проведения совместных мероприятий для инвалидов и граждан, не имеющих инвалидности, проведения информационных кампаний, развития информационных ресурсов с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особых потребностей инвалидов, как общих, так и специализированных).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подразделе предлагается отразить мероприятия соответствующего направления деятельности последовательно по каждой из приоритетных сфер жизнедеятельности (по предмету ведения соответствующего ИОГВ).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раздел может включать в себя иные мероприятия, реализация которых осуществляется за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субъекта Российской Федерации (бюджета муниципального образования) и других внебюджетных источников, такие, как оснащение реабилитационных центров, центров социального обслуживания, поддержка общественных организаций инвалидов, обеспечение инвалидов техническими средствами реабилитации, инвестиции в объекты капитального строительства, приспособление жилищного фонда и жилых помещений инвалидов (семей имеющих детей-инвалидов), в том числе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программ субъектов Российской Федерации в сфере жилищной политики, организация производства товаров с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 "универсального дизайна" в соответствии с </w:t>
      </w:r>
      <w:hyperlink r:id="rId51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Конвенцией ООН "О правах инвалидов" от 13 декабря 2006 года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Программу субъекта Российской Федерации должны быть включены следующие мероприятия, которые могут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софинансироваться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федерального бюджета: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проведение общественно-просветительских кампаний по распространению 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идей, принципов и средств формирования доступной среды для инвалидов и других МГН;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(профессиональная переподготовка, повышение квалификации) русскому жестовому языку переводчиков в сфере профессиональной коммуникации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неслышащих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тифлокомментаторов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совместных мероприятий инвалидов и их сверстников, не имеющих инвалидность (фестивали, конкурсы, выставки, спартакиады,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лагеря, форумы и др.);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круглосуточных диспетчерских центров связи для глухих с целью оказания экстренной и иной социальной помощи; 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оснащение кинотеатров необходимым оборудованием для осуществления кинопоказов с подготовленным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субтитрированием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тифлокоментированием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Примечание. 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кинотеатры, расположенные на территории субъекта Российской Федерации, находятся в частной собственности, необходимо организовать взаимодействие с коммерческими организациями, осуществляющими деятельность по организации отдыха и развлечений, спорта и культуры, в части обеспечения закупки оборудования, необходимого для осуществления кинопоказов с подготовленным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субтитрированием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тифлокомментированием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выполнения положений, предусмотренных </w:t>
      </w:r>
      <w:hyperlink r:id="rId58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1 декабря 2014 года N 419-ФЗ "О внесении</w:t>
        </w:r>
        <w:proofErr w:type="gramEnd"/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изменений </w:t>
        </w:r>
        <w:proofErr w:type="gramStart"/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 отдельные законодательные акты Российской Федерации по вопросам социальной защиты инвалидов в связи с ратификацией Конвенции о правах</w:t>
        </w:r>
        <w:proofErr w:type="gramEnd"/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инвалидов"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2014, N 49, ст.6928) по обеспечению инвалидам равных с другими лицами условий беспрепятственного доступа к принадлежащим им объектам и предоставляемым на них услугам. При этом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мероприятие не может быть реализовано за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федерального бюджета.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(Примечание дополнительно включено </w:t>
      </w:r>
      <w:hyperlink r:id="rId59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Ресурсное обеспечение Программы субъекта Российской Федерации</w:t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данном разделе содержатся сведения о реализации мероприятий Программы субъекта Российской Федерации, осуществляемой за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субъекта Российской Федерации, предполагаемых субсидиях из федерального бюджета бюджету субъекта Российской Федерации, предполагаемых средствах бюджетов муниципальных образований субъекта Российской Федерации, а также средствах, привлекаемых в установленном порядке из внебюджетных источников.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обеспечения Программы субъекта Российской Федерации представляется по форме, предусмотренной </w:t>
      </w:r>
      <w:hyperlink r:id="rId60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приложением N 2 к настоящей Программе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Средства федерального бюджета, предусмотренные в рамках реализации </w:t>
      </w:r>
      <w:hyperlink r:id="rId61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реализации мероприятий,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субъекта Российской Федерации, предоставляются в виде субсидий бюджету субъекта Российской Федерации при условии использования субъектом Российской Федерации на цели реализации Программы собственных и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привлеченных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не менее 30 процентов, а бюджету высокодотационного субъекта Российской Федерации, а также бюджету субъекта Российской Федерации, входящего в состав Дальневосточного федерального округа, бюджету Республики Крым и города Севастополя - не менее 5 процентов </w:t>
      </w:r>
      <w:proofErr w:type="spellStart"/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Программы субъекта Российской Федерации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62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21 мая 2014 года N 343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63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19 февраля 2015 года N 103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64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15 апреля 2015 года N 231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65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6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</w:t>
      </w:r>
      <w:hyperlink r:id="rId67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1 декабря 2015 года N</w:t>
        </w:r>
        <w:proofErr w:type="gramEnd"/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1297 "Об утверждении государственной программы Российской Федерации "Доступная среда" на 2011-2020 годы"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2015, N 49, ст.6987).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68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реализации мероприятий Программы субъекта Российской Федерации принимают участие органы местного самоуправления, высший ИОГВ субъекта Российской Федерации заключает соглашения с органами местного самоуправления при условии использования на цели реализации соответствующих мероприятий Программы субъекта Российской Федерации собственных и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привлеченных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в размере не менее 30 процентов общего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Программы субъекта Российской Федерации. При этом взаимодействие высшего ИОГВ субъекта Российской Федерации с органами местного самоуправления в части включения отдельных мероприятий или программ (подпрограмм) органов местного самоуправления определяется ИОГВ субъекта Российской Федерации.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69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21 мая 2014 года N 343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70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Минтруда России от 19 февраля 2015 года N 103; </w:t>
        </w:r>
      </w:hyperlink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71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15 апреля 2015 года N 231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обеспечения комплексного подхода при реализации мероприятий Программы субъекта Российской Федерации планирование бюджетных ассигнований должно осуществляться в размере не менее 10 процентов и не более 20 процентов на одну приоритетную сферу жизнедеятельности (здравоохранение, социальная защита, занятость, спорт и физическая культура, информация и связь, культура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транспортная и пешеходная инфраструктура) инвалидов и других МГН от общего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Программы субъекта Российской Федерации.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72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21 мая 2014 года N 343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73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Минтруда России от 5 апреля 2016 </w:t>
        </w:r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несоблюдения пропорций сбалансированности финансирования (от 10 процентов до 20 процентов) на одну приоритетную сферу жизнедеятельности инвалидов и других МГН от общего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Программы субъекта Российской Федерации ответственный исполнитель Программы субъекта Российской Федерации представляет в Министерство труда и социальной защиты Российской Федерации информацию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распределении бюджетных ассигнований Программы субъекта Российской Федерации на финансирование приоритетных сфер жизнедеятельности инвалидов и других маломобильных групп населения с разбивкой по соответствующим сферам жизнедеятельности инвалидов и других МГН, которые предусмотрены в других программах субъекта Российской Федерации (государственных программах), с целью соблюдения необходимой пропорциональности соответствующего финансирования.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21 мая 2014 года N 343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случае, если в субъекте Российской Федерации выявлена высокая дифференциация уровня доступности отдельных приоритетных сфер жизнедеятельности инвалидов и других МГН, то допускается несоблюдение пропорций сбалансированности финансирования (от 10 процентов до 20 процентов) на одну приоритетную сферу жизнедеятельности инвалидов и других МГН от общего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Программы субъекта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При этом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дифференциация уровня доступности отдельных приоритетных сфер жизнедеятельности инвалидов и других МГН должна быть подтверждена соответствующими значениями целевых показателей (индикаторов) в Программе субъекта Российской Федерации, во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взаимоувязке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значениями аналогичных целевых показателей (индикаторов) в Государственной программе.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5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планируемом распределении бюджетных ассигнований Программы субъекта Российской Федерации на финансирование приоритетных сфер жизнедеятельности инвалидов и других маломобильных групп населения представляются в соответствии с формой, предусмотренной приложением N 3 к настоящей Программе.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6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21 мая 2014 года N 343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47DC4" w:rsidRPr="00E53877" w:rsidRDefault="00147DC4" w:rsidP="00147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Управление и контроль реализации Программы субъекта Российской Федерации</w:t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содержатся сведения о том, что организацию исполнения мероприятий, текущее управление, координацию работ соисполнителей Программы субъекта Российской Федерации и контроль за ходом реализации Программы субъекта Российской Федерации (в том числе оценку достижения целевых показателей (индикаторов) Программы) осуществляет ответственный исполнитель Программы субъекта Российской Федерации в соответствии с нормативным правовым актом ИОГВ субъекта Российской Федерации об утверждении Программы субъекта Российской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 Ответственный исполнитель Программы субъекта Российской Федерации разрабатывает в пределах своей компетенции нормативные правовые акты, необходимые для реализации Программы субъекта Российской Федерации.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управления Программой субъекта Российской Федерации, контроля и оценки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может быть создан координирующий рабочий орган, формируемый из представителей ИОГВ субъекта Российской Федерации, органов местного 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самоуправления, участвующих в реализации Программы субъекта Российской Федерации, и общественных организаций инвалидов.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ИОГВ субъекта Российской Федерации, являющиеся соисполнителями Программы, организуют исполнение мероприятий Программы субъекта Российской Федерации, в установленные сроки предоставляют информацию об их исполнении ответственному исполнителю Программы субъекта Российской Федерации, а также при необходимости выступают инициаторами корректировки программных мероприятий, источников и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финансирования (с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оценки эффективности Программы субъекта Российской Федерации).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исполнения мероприятий соисполнителями Программы субъекта Российской Федерации осуществляется в соответствии с </w:t>
      </w:r>
      <w:hyperlink r:id="rId77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14, ст.1652).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78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21 мая 2014 года N 343</w:t>
        </w:r>
        <w:proofErr w:type="gramStart"/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экономии бюджетных ассигнований, образовавшейся в результате снижения начальной (максимальной) цены контракта (цены лота) в рамках проведения конкурсных процедур на право заключения государственного контракта, денежные средства должны расходоваться в размере не менее 10 процентов и не более 20 процентов на одну приоритетную сферу жизнедеятельности (здравоохранение, социальная защита, занятость, спорт и физическая культура, информация и связь, культура, транспортная и пешеходная инфраструктура) инвалидов и других МГН от общего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сэкономленных средств бюджета бюджетной системы Российской Федерации.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79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оперативного контроля (мониторинга) исполнения Программы субъекта Российской Федерации соисполнители Программы субъекта Российской Федерации один раз в полугодие до 15 числа месяца, следующего за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периодом, представляют информацию о выполнении мероприятий Программы субъекта Российской Федерации ответственному исполнителю Программы субъекта Российской Федерации.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</w:t>
      </w:r>
      <w:hyperlink r:id="rId80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 исполнитель Программы субъекта Российской Федерации ежегодно (по итогам года) представляет сводный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Программы субъекта Российской Федерации и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с оценкой эффективности в соответствии с нормативным правовым актом высшего ИОГВ субъекта Российской Федерации о порядке, разработке и реализации целевых программ субъектов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ИОГВ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ежеквартально представляет в Министерство труда и социальной защиты Российской Федерации: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об исполнении мероприятий Программы субъекта Российской Федерации с указанием сведений о выполнении мероприятий, включающих в себя количественно-качественные показатели и описания выполнения, или о невыполнении мероприятий;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расходов бюджета субъекта Российской Федерации (местных 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бюджетов), источником финансового обеспечения которых являются субсидии из федерального бюджета бюджету субъектов Российской Федерации на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реализации мероприятий,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субъекта Российской Федерации,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МГН;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достижении значений целевых показателей (индикаторов) Программы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МГН.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перечень мероприятий Программы субъекта Российской Федерации, в сроки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реализации, в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в пределах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бюджетных ассигнований на реализацию программ субъекта Российской Федерации в целом осуществляются по согласованию с Министерством труда социальной защиты Российской Федерации в порядке, установленном для разработки и реализации целевых программ в субъекте Российской Федерации.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7DC4" w:rsidRPr="00E53877" w:rsidRDefault="00147DC4" w:rsidP="00147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Оценка </w:t>
      </w:r>
      <w:proofErr w:type="gramStart"/>
      <w:r w:rsidRPr="00E5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реализации Программы субъекта Российской Федерации</w:t>
      </w:r>
      <w:proofErr w:type="gramEnd"/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разделе содержатся сведения о том, что Программа субъекта Российской Федерации направлена на развитие мер социальной поддержки инвалидов и детей-инвалидов, на формирование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социальная эффективность Программы субъекта Российской Федерации должна выражаться в снижении социальной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напряженности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 за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увеличения уровня информированности инвалидов и других МГН о доступных социально значимых объектах и услугах, о формате их предоставления;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преодоления социальной изоляции и включенности инвалидов и других МГН в жизнь общества, в том числе в совместные с другими гражданами мероприятия (в том числе досуговые, культурные, спортивные);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информационных кампаний и акций СМИ в освещении проблем инвалидов для граждан, не являющихся инвалидами;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повышения уровня и качества услуг, открытым или предоставляемым для населения.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Экономическая эффективность Программы субъекта Российской Федерации обеспечивается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рационального использования средств бюджетов бюджетной системы Российской Федерации, в том числе в результате перераспределения расходов.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1. Система целевых показателей (индикаторов) Программы субъекта Российской Федерации</w:t>
      </w:r>
    </w:p>
    <w:p w:rsidR="00147DC4" w:rsidRPr="00E53877" w:rsidRDefault="00147DC4" w:rsidP="00147D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примерной программе субъекта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по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обеспечению доступности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приоритетных объектов и услуг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приоритетных сферах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жизнедеятельности инвалидов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других маломобильных групп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населения,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Минтруда России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декабря 2012 года N 575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1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</w:t>
        </w:r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  <w:t>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82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47DC4" w:rsidRPr="00E53877" w:rsidRDefault="00147DC4" w:rsidP="00147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целевых показателей (индикаторов) Программы субъекта Российской Федерации </w:t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2220"/>
        <w:gridCol w:w="1434"/>
        <w:gridCol w:w="748"/>
        <w:gridCol w:w="748"/>
        <w:gridCol w:w="748"/>
        <w:gridCol w:w="1497"/>
      </w:tblGrid>
      <w:tr w:rsidR="00E53877" w:rsidRPr="00E53877" w:rsidTr="00147DC4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Программы субъекта Российской Федерации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на момент разработки Программы субъекта Российской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значений по годам реализации Программы субъекта Российской Федерации (в процентах)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на момент окончания действия Программы субъекта 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- повышение уровня доступности приоритетных объектов и услуг в приоритетных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сферах жизнедеятельности инвалидов и других МГН в субъекте Российской Федерации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доступных для инвалидов и других МГН приоритетных объектов социальной, транспортной, инженерной инфраструктуры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общем количестве приоритетных объектов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опрошенных инвалидов субъекта Российской Федерации.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Программы: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условий для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просвещенности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вопросах инвалидности и устранения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барьеров в субъекте Российской Федерации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признающих навыки, достоинства и способности инвалидов, в общей численности опрошенных граждан субъекта Российской Федерации.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и услуг в приоритетных сферах жизнедеятельности инвалидов и других МГН в субъекте Российской Федерации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субъекта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доля приоритетных объектов и услуг в приоритетных сферах жизнедеятельности инвалидов,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нанесенных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карту доступности субъекта Российской Федерации по результатам их паспортизации, среди всех приоритетных объектов и услуг.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транспорта и пешеходной инфраструктуры, информации и связи, физической культуры и спорта в субъекте Российской Федерации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 в субъекте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детей-инвалидов школьного возраста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детей-инвалидов в возрасте от 5 до 18 лет, получающих дополнительное образование, в общей численности детей-инвалидов данного возраста субъекта Российской Федерации;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приоритетных объектов органов службы занятости, доступных для инвалидов и других МГН, в общем количестве 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органов службы занятости субъекта Российской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в общем количестве дошкольных образовательных организаций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детей-инвалидов в возрасте от 1,5 до 7 лет, охваченных дошкольным образованием, в общей численности детей-инвалидов данного возраста субъекта Российской Федерации;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доля приоритетных объектов, доступных для инвалидов и других МГН в сфере культуры, в общем количестве приоритетных объектов в сфере культуры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МГН, в парке этого подвижного состава (автобусного, трамвайного, троллейбусного)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доля станций метро, доступных для инвалидов и других МГН, в общем количестве станций метро (при наличии данного вида транспорта в субъекте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Федерации) субъекта Российской Федерации;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субъекта Российской Федерации;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доля приоритетных объектов, доступных для инвалидов и других МГН в сфере физической культуры и спорта, в общем количестве приоритетных объектов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 Российской Федерации.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DC4" w:rsidRPr="00E53877" w:rsidRDefault="00147DC4" w:rsidP="00147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2. Объем ресурсного обеспечения Программы субъекта Российской Федерации</w:t>
      </w:r>
    </w:p>
    <w:p w:rsidR="00147DC4" w:rsidRPr="00E53877" w:rsidRDefault="00147DC4" w:rsidP="00147D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примерной программе субъекта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по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обеспечению доступности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приоритетных объектов и услуг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приоритетных сферах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жизнедеятельности инвалидов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других маломобильных групп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населения,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Минтруда России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декабря 2012 года N 575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редакции,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3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</w:t>
        </w:r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  <w:t>от 5 апреля 2016 года N 149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84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  <w:proofErr w:type="gramEnd"/>
    </w:p>
    <w:p w:rsidR="00147DC4" w:rsidRPr="00E53877" w:rsidRDefault="00147DC4" w:rsidP="00147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ресурсного обеспечения Программы субъекта Российской Федерации </w:t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2363"/>
        <w:gridCol w:w="1198"/>
        <w:gridCol w:w="1198"/>
        <w:gridCol w:w="1213"/>
      </w:tblGrid>
      <w:tr w:rsidR="00E53877" w:rsidRPr="00E53877" w:rsidTr="00147DC4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направления расходов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на 2016-2018 годы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(прогноз) мероприятия в сфере деятельности Минтруда России</w:t>
            </w:r>
            <w:r w:rsidRPr="00E53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79704B" wp14:editId="7DD5D492">
                      <wp:extent cx="85725" cy="219075"/>
                      <wp:effectExtent l="0" t="0" r="0" b="0"/>
                      <wp:docPr id="4" name="Прямоугольник 4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(прогноз) мероприятия в сфере деятельности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E53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48D177" wp14:editId="77986F69">
                      <wp:extent cx="85725" cy="219075"/>
                      <wp:effectExtent l="0" t="0" r="0" b="0"/>
                      <wp:docPr id="3" name="Прямоугольник 3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(прогноз) мероприятия в </w: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сфере деятельности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E538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F6FD4A" wp14:editId="775FDA51">
                      <wp:extent cx="85725" cy="219075"/>
                      <wp:effectExtent l="0" t="0" r="0" b="0"/>
                      <wp:docPr id="2" name="Прямоугольник 2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субъекта Российской Федерации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бюджетов муниципальных образований субъекта Российской Федерации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475ED8" wp14:editId="540E6367">
                <wp:extent cx="85725" cy="219075"/>
                <wp:effectExtent l="0" t="0" r="0" b="0"/>
                <wp:docPr id="1" name="Прямоугольник 1" descr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зменениями на 5 апреля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" filled="f" stroked="f">
                <o:lock v:ext="edit" aspectratio="t"/>
                <w10:anchorlock/>
              </v:rect>
            </w:pict>
          </mc:Fallback>
        </mc:AlternateConten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получения субсидий из федерального бюджета на реализацию мероприятий, направленных на обеспечение доступности приоритетных объектов и услуг в приоритетных сферах жизнедеятельности инвалидов и других МГН (мероприятия в сфере деятельности Минтруда России), и/или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</w:t>
      </w:r>
      <w:proofErr w:type="gram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детьми-инвалидами качественного образования (мероприятия в сфере деятельности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России); </w:t>
      </w:r>
      <w:proofErr w:type="gram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поддержку учреждений спортивной направленности по адаптивной физической культуре и спорту в субъектах Российской Федерации (мероприятия в сфере деятельности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субъекта Российской Федерации (разработанную на основе примерной Программы субъекта Российской Федерации), позволяющую достичь значений целевых показателей и индикаторов </w:t>
      </w:r>
      <w:hyperlink r:id="rId85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 программы Российской Федерации "Доступная среда" на 2011-2020 годы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6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1 декабря</w:t>
        </w:r>
        <w:proofErr w:type="gramEnd"/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2015 года N 1297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3. Сведения о планируемом распределении бюджетных ассигнований Программы субъекта Российской Федерации на финансирование приоритетных сфер жизнедеятельности инвалидов и других маломобильных групп населения</w:t>
      </w:r>
    </w:p>
    <w:p w:rsidR="00147DC4" w:rsidRPr="00E53877" w:rsidRDefault="00147DC4" w:rsidP="00147D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примерной программе субъекта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по обеспечению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доступности приоритетных объектов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услуг в приоритетных сферах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жизнедеятельности инвалидов и других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маломобильных групп населения,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Минтруда России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6 декабря 2012 года N 575 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(Дополнительно включено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7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</w:t>
        </w:r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  <w:t>от 21 мая 2014 года N 343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147DC4" w:rsidRPr="00E53877" w:rsidRDefault="00147DC4" w:rsidP="00147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планируемом распределении бюджетных ассигнований </w:t>
      </w:r>
      <w:hyperlink r:id="rId88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Программы субъекта Российской Федерации на финансирование приоритетных сфер жизнедеятельности инвалидов и других маломобильных групп населения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95"/>
        <w:gridCol w:w="1000"/>
        <w:gridCol w:w="812"/>
        <w:gridCol w:w="778"/>
        <w:gridCol w:w="1174"/>
        <w:gridCol w:w="1174"/>
        <w:gridCol w:w="1066"/>
        <w:gridCol w:w="1066"/>
        <w:gridCol w:w="747"/>
      </w:tblGrid>
      <w:tr w:rsidR="00E53877" w:rsidRPr="00E53877" w:rsidTr="00147DC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приоритетной сферы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мероприятий Программы субъекта Российской Федерации, направленных на формирование доступной среды для инвалидов и других маломобильных групп населения,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Программы субъекта Российской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на реализацию мероприятий в других программах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по приоритетной сфере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по приоритетной сфере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консол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дированного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субъекта Российской Федерации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(графа 3 + графа 4)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Федерации, направленных на формирование доступной среды для инвалидов и других маломобильных групп населения, процент, (построчное значение графы 5 / итого графы 5) X 100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 (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программах), направленных на формирование доступной среды для инвалидов и других маломобильных групп населения,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источников,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(графа 5 + графа 7)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источников, процент, (построчное значение графы 8 / итого графы 8) X 100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53877" w:rsidRPr="00E53877" w:rsidTr="00147D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77" w:rsidRPr="00E53877" w:rsidTr="00147D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DC4" w:rsidRPr="00E53877" w:rsidRDefault="00147DC4" w:rsidP="001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Примечания: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графах 1-6 указывается планируемое распределение бюджетных ассигнований, предусмотренных на финансирование мероприятий </w:t>
      </w:r>
      <w:hyperlink r:id="rId89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Графы 7-10 заполняются в случае несоблюдения пропорций сбалансированности финансирования (от 10 процентов до 20 процентов) на одну приоритетную сферу жизнедеятельности инвалидов и других маломобильных групп населения от общего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</w:t>
      </w:r>
      <w:hyperlink r:id="rId90" w:history="1">
        <w:r w:rsidRPr="00E538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Программы субъекта Российской Федерации</w:t>
        </w:r>
      </w:hyperlink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соблюдения необходимой пропорциональности соответствующего финансирования.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графе 10 указывается наименование программы субъекта Российской Федерации (государственных программ), направленных на формирование доступной среды для инвалидов и других маломобильных групп населения, финансовое обеспечение которых отражается в графе 7.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DC4" w:rsidRPr="00E53877" w:rsidRDefault="00147DC4" w:rsidP="00147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документа с </w:t>
      </w:r>
      <w:proofErr w:type="spellStart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E53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"Кодекс"</w:t>
      </w:r>
    </w:p>
    <w:p w:rsidR="00A7187E" w:rsidRPr="00E53877" w:rsidRDefault="00A7187E">
      <w:pPr>
        <w:rPr>
          <w:rFonts w:ascii="Times New Roman" w:hAnsi="Times New Roman" w:cs="Times New Roman"/>
          <w:sz w:val="24"/>
          <w:szCs w:val="24"/>
        </w:rPr>
      </w:pPr>
    </w:p>
    <w:sectPr w:rsidR="00A7187E" w:rsidRPr="00E5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37"/>
    <w:rsid w:val="00147DC4"/>
    <w:rsid w:val="00285B9A"/>
    <w:rsid w:val="002D7A5B"/>
    <w:rsid w:val="004519C6"/>
    <w:rsid w:val="004756C2"/>
    <w:rsid w:val="004B5152"/>
    <w:rsid w:val="005C50C0"/>
    <w:rsid w:val="0065337B"/>
    <w:rsid w:val="00A204E6"/>
    <w:rsid w:val="00A7187E"/>
    <w:rsid w:val="00A96537"/>
    <w:rsid w:val="00C25B98"/>
    <w:rsid w:val="00DE29B2"/>
    <w:rsid w:val="00E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7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7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7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7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348432" TargetMode="External"/><Relationship Id="rId18" Type="http://schemas.openxmlformats.org/officeDocument/2006/relationships/hyperlink" Target="http://docs.cntd.ru/document/420348432" TargetMode="External"/><Relationship Id="rId26" Type="http://schemas.openxmlformats.org/officeDocument/2006/relationships/hyperlink" Target="http://docs.cntd.ru/document/902130343" TargetMode="External"/><Relationship Id="rId39" Type="http://schemas.openxmlformats.org/officeDocument/2006/relationships/hyperlink" Target="http://docs.cntd.ru/document/420348432" TargetMode="External"/><Relationship Id="rId21" Type="http://schemas.openxmlformats.org/officeDocument/2006/relationships/hyperlink" Target="http://docs.cntd.ru/document/420348432" TargetMode="External"/><Relationship Id="rId34" Type="http://schemas.openxmlformats.org/officeDocument/2006/relationships/hyperlink" Target="http://docs.cntd.ru/document/902268521" TargetMode="External"/><Relationship Id="rId42" Type="http://schemas.openxmlformats.org/officeDocument/2006/relationships/hyperlink" Target="http://docs.cntd.ru/document/420348432" TargetMode="External"/><Relationship Id="rId47" Type="http://schemas.openxmlformats.org/officeDocument/2006/relationships/hyperlink" Target="http://docs.cntd.ru/document/902192610" TargetMode="External"/><Relationship Id="rId50" Type="http://schemas.openxmlformats.org/officeDocument/2006/relationships/hyperlink" Target="http://docs.cntd.ru/document/420348432" TargetMode="External"/><Relationship Id="rId55" Type="http://schemas.openxmlformats.org/officeDocument/2006/relationships/hyperlink" Target="http://docs.cntd.ru/document/420348432" TargetMode="External"/><Relationship Id="rId63" Type="http://schemas.openxmlformats.org/officeDocument/2006/relationships/hyperlink" Target="http://docs.cntd.ru/document/420255188" TargetMode="External"/><Relationship Id="rId68" Type="http://schemas.openxmlformats.org/officeDocument/2006/relationships/hyperlink" Target="http://docs.cntd.ru/document/420348432" TargetMode="External"/><Relationship Id="rId76" Type="http://schemas.openxmlformats.org/officeDocument/2006/relationships/hyperlink" Target="http://docs.cntd.ru/document/420246071" TargetMode="External"/><Relationship Id="rId84" Type="http://schemas.openxmlformats.org/officeDocument/2006/relationships/hyperlink" Target="http://docs.cntd.ru/document/420350379" TargetMode="External"/><Relationship Id="rId89" Type="http://schemas.openxmlformats.org/officeDocument/2006/relationships/hyperlink" Target="http://docs.cntd.ru/document/902386495" TargetMode="External"/><Relationship Id="rId7" Type="http://schemas.openxmlformats.org/officeDocument/2006/relationships/hyperlink" Target="http://docs.cntd.ru/document/420348432" TargetMode="External"/><Relationship Id="rId71" Type="http://schemas.openxmlformats.org/officeDocument/2006/relationships/hyperlink" Target="http://docs.cntd.ru/document/420270893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348432" TargetMode="External"/><Relationship Id="rId29" Type="http://schemas.openxmlformats.org/officeDocument/2006/relationships/hyperlink" Target="http://docs.cntd.ru/document/902268521" TargetMode="External"/><Relationship Id="rId11" Type="http://schemas.openxmlformats.org/officeDocument/2006/relationships/hyperlink" Target="http://docs.cntd.ru/document/420319730" TargetMode="External"/><Relationship Id="rId24" Type="http://schemas.openxmlformats.org/officeDocument/2006/relationships/hyperlink" Target="http://docs.cntd.ru/document/902268521" TargetMode="External"/><Relationship Id="rId32" Type="http://schemas.openxmlformats.org/officeDocument/2006/relationships/hyperlink" Target="http://docs.cntd.ru/document/902386495" TargetMode="External"/><Relationship Id="rId37" Type="http://schemas.openxmlformats.org/officeDocument/2006/relationships/hyperlink" Target="http://docs.cntd.ru/document/420348432" TargetMode="External"/><Relationship Id="rId40" Type="http://schemas.openxmlformats.org/officeDocument/2006/relationships/hyperlink" Target="http://docs.cntd.ru/document/420348432" TargetMode="External"/><Relationship Id="rId45" Type="http://schemas.openxmlformats.org/officeDocument/2006/relationships/hyperlink" Target="http://docs.cntd.ru/document/420348432" TargetMode="External"/><Relationship Id="rId53" Type="http://schemas.openxmlformats.org/officeDocument/2006/relationships/hyperlink" Target="http://docs.cntd.ru/document/420348432" TargetMode="External"/><Relationship Id="rId58" Type="http://schemas.openxmlformats.org/officeDocument/2006/relationships/hyperlink" Target="http://docs.cntd.ru/document/420236204" TargetMode="External"/><Relationship Id="rId66" Type="http://schemas.openxmlformats.org/officeDocument/2006/relationships/hyperlink" Target="http://docs.cntd.ru/document/420319730" TargetMode="External"/><Relationship Id="rId74" Type="http://schemas.openxmlformats.org/officeDocument/2006/relationships/hyperlink" Target="http://docs.cntd.ru/document/420246071" TargetMode="External"/><Relationship Id="rId79" Type="http://schemas.openxmlformats.org/officeDocument/2006/relationships/hyperlink" Target="http://docs.cntd.ru/document/420348432" TargetMode="External"/><Relationship Id="rId87" Type="http://schemas.openxmlformats.org/officeDocument/2006/relationships/hyperlink" Target="http://docs.cntd.ru/document/420246071" TargetMode="External"/><Relationship Id="rId5" Type="http://schemas.openxmlformats.org/officeDocument/2006/relationships/hyperlink" Target="http://docs.cntd.ru/document/902386495" TargetMode="External"/><Relationship Id="rId61" Type="http://schemas.openxmlformats.org/officeDocument/2006/relationships/hyperlink" Target="http://docs.cntd.ru/document/902268521" TargetMode="External"/><Relationship Id="rId82" Type="http://schemas.openxmlformats.org/officeDocument/2006/relationships/hyperlink" Target="http://docs.cntd.ru/document/420350379" TargetMode="External"/><Relationship Id="rId90" Type="http://schemas.openxmlformats.org/officeDocument/2006/relationships/hyperlink" Target="http://docs.cntd.ru/document/902386495" TargetMode="External"/><Relationship Id="rId19" Type="http://schemas.openxmlformats.org/officeDocument/2006/relationships/hyperlink" Target="http://docs.cntd.ru/document/420348432" TargetMode="External"/><Relationship Id="rId14" Type="http://schemas.openxmlformats.org/officeDocument/2006/relationships/hyperlink" Target="http://docs.cntd.ru/document/420348432" TargetMode="External"/><Relationship Id="rId22" Type="http://schemas.openxmlformats.org/officeDocument/2006/relationships/hyperlink" Target="http://docs.cntd.ru/document/420348432" TargetMode="External"/><Relationship Id="rId27" Type="http://schemas.openxmlformats.org/officeDocument/2006/relationships/hyperlink" Target="http://docs.cntd.ru/document/902130343" TargetMode="External"/><Relationship Id="rId30" Type="http://schemas.openxmlformats.org/officeDocument/2006/relationships/hyperlink" Target="http://docs.cntd.ru/document/902268521" TargetMode="External"/><Relationship Id="rId35" Type="http://schemas.openxmlformats.org/officeDocument/2006/relationships/hyperlink" Target="http://docs.cntd.ru/document/420348432" TargetMode="External"/><Relationship Id="rId43" Type="http://schemas.openxmlformats.org/officeDocument/2006/relationships/hyperlink" Target="http://docs.cntd.ru/document/420348432" TargetMode="External"/><Relationship Id="rId48" Type="http://schemas.openxmlformats.org/officeDocument/2006/relationships/hyperlink" Target="http://docs.cntd.ru/document/1200089976" TargetMode="External"/><Relationship Id="rId56" Type="http://schemas.openxmlformats.org/officeDocument/2006/relationships/hyperlink" Target="http://docs.cntd.ru/document/420348432" TargetMode="External"/><Relationship Id="rId64" Type="http://schemas.openxmlformats.org/officeDocument/2006/relationships/hyperlink" Target="http://docs.cntd.ru/document/420270893" TargetMode="External"/><Relationship Id="rId69" Type="http://schemas.openxmlformats.org/officeDocument/2006/relationships/hyperlink" Target="http://docs.cntd.ru/document/420246071" TargetMode="External"/><Relationship Id="rId77" Type="http://schemas.openxmlformats.org/officeDocument/2006/relationships/hyperlink" Target="http://docs.cntd.ru/document/499011838" TargetMode="External"/><Relationship Id="rId8" Type="http://schemas.openxmlformats.org/officeDocument/2006/relationships/hyperlink" Target="http://docs.cntd.ru/document/902386495" TargetMode="External"/><Relationship Id="rId51" Type="http://schemas.openxmlformats.org/officeDocument/2006/relationships/hyperlink" Target="http://docs.cntd.ru/document/902114182" TargetMode="External"/><Relationship Id="rId72" Type="http://schemas.openxmlformats.org/officeDocument/2006/relationships/hyperlink" Target="http://docs.cntd.ru/document/420246071" TargetMode="External"/><Relationship Id="rId80" Type="http://schemas.openxmlformats.org/officeDocument/2006/relationships/hyperlink" Target="http://docs.cntd.ru/document/420348432" TargetMode="External"/><Relationship Id="rId85" Type="http://schemas.openxmlformats.org/officeDocument/2006/relationships/hyperlink" Target="http://docs.cntd.ru/document/4203197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0246071" TargetMode="External"/><Relationship Id="rId17" Type="http://schemas.openxmlformats.org/officeDocument/2006/relationships/hyperlink" Target="http://docs.cntd.ru/document/420348432" TargetMode="External"/><Relationship Id="rId25" Type="http://schemas.openxmlformats.org/officeDocument/2006/relationships/hyperlink" Target="http://docs.cntd.ru/document/420348432" TargetMode="External"/><Relationship Id="rId33" Type="http://schemas.openxmlformats.org/officeDocument/2006/relationships/hyperlink" Target="http://docs.cntd.ru/document/902268521" TargetMode="External"/><Relationship Id="rId38" Type="http://schemas.openxmlformats.org/officeDocument/2006/relationships/hyperlink" Target="http://docs.cntd.ru/document/420348432" TargetMode="External"/><Relationship Id="rId46" Type="http://schemas.openxmlformats.org/officeDocument/2006/relationships/hyperlink" Target="http://docs.cntd.ru/document/420348432" TargetMode="External"/><Relationship Id="rId59" Type="http://schemas.openxmlformats.org/officeDocument/2006/relationships/hyperlink" Target="http://docs.cntd.ru/document/420348432" TargetMode="External"/><Relationship Id="rId67" Type="http://schemas.openxmlformats.org/officeDocument/2006/relationships/hyperlink" Target="http://docs.cntd.ru/document/420319730" TargetMode="External"/><Relationship Id="rId20" Type="http://schemas.openxmlformats.org/officeDocument/2006/relationships/hyperlink" Target="http://docs.cntd.ru/document/420348432" TargetMode="External"/><Relationship Id="rId41" Type="http://schemas.openxmlformats.org/officeDocument/2006/relationships/hyperlink" Target="http://docs.cntd.ru/document/420348432" TargetMode="External"/><Relationship Id="rId54" Type="http://schemas.openxmlformats.org/officeDocument/2006/relationships/hyperlink" Target="http://docs.cntd.ru/document/420348432" TargetMode="External"/><Relationship Id="rId62" Type="http://schemas.openxmlformats.org/officeDocument/2006/relationships/hyperlink" Target="http://docs.cntd.ru/document/420246071" TargetMode="External"/><Relationship Id="rId70" Type="http://schemas.openxmlformats.org/officeDocument/2006/relationships/hyperlink" Target="http://docs.cntd.ru/document/420255188" TargetMode="External"/><Relationship Id="rId75" Type="http://schemas.openxmlformats.org/officeDocument/2006/relationships/hyperlink" Target="http://docs.cntd.ru/document/420348432" TargetMode="External"/><Relationship Id="rId83" Type="http://schemas.openxmlformats.org/officeDocument/2006/relationships/hyperlink" Target="http://docs.cntd.ru/document/420348432" TargetMode="External"/><Relationship Id="rId88" Type="http://schemas.openxmlformats.org/officeDocument/2006/relationships/hyperlink" Target="http://docs.cntd.ru/document/902386495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19730" TargetMode="External"/><Relationship Id="rId15" Type="http://schemas.openxmlformats.org/officeDocument/2006/relationships/hyperlink" Target="http://docs.cntd.ru/document/420348432" TargetMode="External"/><Relationship Id="rId23" Type="http://schemas.openxmlformats.org/officeDocument/2006/relationships/hyperlink" Target="http://docs.cntd.ru/document/420348432" TargetMode="External"/><Relationship Id="rId28" Type="http://schemas.openxmlformats.org/officeDocument/2006/relationships/hyperlink" Target="http://docs.cntd.ru/document/902268521" TargetMode="External"/><Relationship Id="rId36" Type="http://schemas.openxmlformats.org/officeDocument/2006/relationships/hyperlink" Target="http://docs.cntd.ru/document/420348432" TargetMode="External"/><Relationship Id="rId49" Type="http://schemas.openxmlformats.org/officeDocument/2006/relationships/hyperlink" Target="http://docs.cntd.ru/document/1200022394" TargetMode="External"/><Relationship Id="rId57" Type="http://schemas.openxmlformats.org/officeDocument/2006/relationships/hyperlink" Target="http://docs.cntd.ru/document/420348432" TargetMode="External"/><Relationship Id="rId10" Type="http://schemas.openxmlformats.org/officeDocument/2006/relationships/hyperlink" Target="http://docs.cntd.ru/document/902130343" TargetMode="External"/><Relationship Id="rId31" Type="http://schemas.openxmlformats.org/officeDocument/2006/relationships/hyperlink" Target="http://docs.cntd.ru/document/902268521" TargetMode="External"/><Relationship Id="rId44" Type="http://schemas.openxmlformats.org/officeDocument/2006/relationships/hyperlink" Target="http://docs.cntd.ru/document/420348432" TargetMode="External"/><Relationship Id="rId52" Type="http://schemas.openxmlformats.org/officeDocument/2006/relationships/hyperlink" Target="http://docs.cntd.ru/document/420348432" TargetMode="External"/><Relationship Id="rId60" Type="http://schemas.openxmlformats.org/officeDocument/2006/relationships/hyperlink" Target="http://docs.cntd.ru/document/902386495" TargetMode="External"/><Relationship Id="rId65" Type="http://schemas.openxmlformats.org/officeDocument/2006/relationships/hyperlink" Target="http://docs.cntd.ru/document/420348432" TargetMode="External"/><Relationship Id="rId73" Type="http://schemas.openxmlformats.org/officeDocument/2006/relationships/hyperlink" Target="http://docs.cntd.ru/document/420348432" TargetMode="External"/><Relationship Id="rId78" Type="http://schemas.openxmlformats.org/officeDocument/2006/relationships/hyperlink" Target="http://docs.cntd.ru/document/420246071" TargetMode="External"/><Relationship Id="rId81" Type="http://schemas.openxmlformats.org/officeDocument/2006/relationships/hyperlink" Target="http://docs.cntd.ru/document/420348432" TargetMode="External"/><Relationship Id="rId86" Type="http://schemas.openxmlformats.org/officeDocument/2006/relationships/hyperlink" Target="http://docs.cntd.ru/document/420319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0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9750</Words>
  <Characters>55579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Лариса Николаевна Смирнова</cp:lastModifiedBy>
  <cp:revision>3</cp:revision>
  <cp:lastPrinted>2016-04-25T08:43:00Z</cp:lastPrinted>
  <dcterms:created xsi:type="dcterms:W3CDTF">2019-02-28T11:15:00Z</dcterms:created>
  <dcterms:modified xsi:type="dcterms:W3CDTF">2019-02-28T11:15:00Z</dcterms:modified>
</cp:coreProperties>
</file>