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11" w:rsidRDefault="00B85411" w:rsidP="00622279">
      <w:pPr>
        <w:spacing w:after="0" w:line="240" w:lineRule="auto"/>
        <w:rPr>
          <w:rFonts w:ascii="PT Astra Serif" w:hAnsi="PT Astra Serif" w:cs="Times New Roman"/>
          <w:b/>
          <w:sz w:val="32"/>
          <w:szCs w:val="32"/>
          <w:u w:val="single"/>
        </w:rPr>
      </w:pPr>
    </w:p>
    <w:p w:rsidR="00D84367" w:rsidRPr="003049BD" w:rsidRDefault="00BA50CC" w:rsidP="003961B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АНАЛИЗ</w:t>
      </w:r>
    </w:p>
    <w:p w:rsidR="00A03FA1" w:rsidRPr="003049BD" w:rsidRDefault="007F5E35" w:rsidP="003961B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о</w:t>
      </w:r>
      <w:r w:rsidR="00BA50CC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бращений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граждан </w:t>
      </w:r>
      <w:r w:rsidR="00A03FA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и </w:t>
      </w:r>
      <w:r w:rsidR="003C0AB3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>организаций</w:t>
      </w:r>
    </w:p>
    <w:p w:rsidR="00874E4B" w:rsidRPr="003961B1" w:rsidRDefault="003961B1" w:rsidP="003961B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поступивших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1C4EE5" w:rsidRPr="003961B1">
        <w:rPr>
          <w:rFonts w:ascii="PT Astra Serif" w:hAnsi="PT Astra Serif" w:cs="Times New Roman"/>
          <w:sz w:val="28"/>
          <w:szCs w:val="28"/>
        </w:rPr>
        <w:t xml:space="preserve">в Министерство </w:t>
      </w:r>
      <w:r w:rsidR="00EE1077" w:rsidRPr="003961B1">
        <w:rPr>
          <w:rFonts w:ascii="PT Astra Serif" w:hAnsi="PT Astra Serif" w:cs="Times New Roman"/>
          <w:sz w:val="28"/>
          <w:szCs w:val="28"/>
        </w:rPr>
        <w:t>семейной, демографической политики</w:t>
      </w:r>
      <w:r w:rsidR="001C4EE5" w:rsidRPr="003961B1">
        <w:rPr>
          <w:rFonts w:ascii="PT Astra Serif" w:hAnsi="PT Astra Serif" w:cs="Times New Roman"/>
          <w:sz w:val="28"/>
          <w:szCs w:val="28"/>
        </w:rPr>
        <w:t xml:space="preserve"> и социального благополучия Ульяновской области</w:t>
      </w:r>
    </w:p>
    <w:p w:rsidR="00BA50CC" w:rsidRDefault="00EE1077" w:rsidP="003961B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з</w:t>
      </w:r>
      <w:r w:rsidR="00D70EDB" w:rsidRPr="003049BD">
        <w:rPr>
          <w:rFonts w:ascii="PT Astra Serif" w:hAnsi="PT Astra Serif" w:cs="Times New Roman"/>
          <w:b/>
          <w:sz w:val="28"/>
          <w:szCs w:val="28"/>
        </w:rPr>
        <w:t>а</w:t>
      </w:r>
      <w:r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74E4B" w:rsidRPr="003049BD">
        <w:rPr>
          <w:rFonts w:ascii="PT Astra Serif" w:hAnsi="PT Astra Serif" w:cs="Times New Roman"/>
          <w:b/>
          <w:sz w:val="28"/>
          <w:szCs w:val="28"/>
        </w:rPr>
        <w:t>201</w:t>
      </w:r>
      <w:r w:rsidRPr="003049BD">
        <w:rPr>
          <w:rFonts w:ascii="PT Astra Serif" w:hAnsi="PT Astra Serif" w:cs="Times New Roman"/>
          <w:b/>
          <w:sz w:val="28"/>
          <w:szCs w:val="28"/>
        </w:rPr>
        <w:t>9</w:t>
      </w:r>
      <w:r w:rsidR="00874E4B" w:rsidRPr="003049BD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9A29F8" w:rsidRPr="003049BD" w:rsidRDefault="009A29F8" w:rsidP="00874E4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29F8" w:rsidRDefault="009A29F8" w:rsidP="009A29F8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12EB5">
        <w:rPr>
          <w:rFonts w:ascii="PT Astra Serif" w:hAnsi="PT Astra Serif" w:cs="Times New Roman"/>
          <w:sz w:val="28"/>
          <w:szCs w:val="28"/>
        </w:rPr>
        <w:t>Деятельность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Министерства  семейной, демографической политики и социального благополучия Ульяновской области по организации работы с обращениями граждан осуществляется в соответствии с Положениями Федерального закона</w:t>
      </w:r>
      <w:r w:rsidR="003961B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от</w:t>
      </w:r>
      <w:r w:rsidR="003961B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02.05.2006 №59-ФЗ «О порядке рассмотрения обращений граждан в Российской Федерации»  и  «Инструкцией  по работе с обращениями граждан и организаций в Министерстве семейной, демографической политики и социального благополучия  Ульяновской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области  работы с обращениями граждан и организаций»  от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29.05.2019№73-п. </w:t>
      </w:r>
    </w:p>
    <w:p w:rsidR="009A29F8" w:rsidRDefault="006154AC" w:rsidP="009A29F8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протяжении</w:t>
      </w:r>
      <w:r w:rsidR="009A29F8">
        <w:rPr>
          <w:rFonts w:ascii="PT Astra Serif" w:hAnsi="PT Astra Serif" w:cs="Times New Roman"/>
          <w:sz w:val="28"/>
          <w:szCs w:val="28"/>
        </w:rPr>
        <w:t xml:space="preserve"> 2019 года проводилась целенаправленная работа с обращениями граждан, которая позволяет правильно оценивать ситуацию и своевременно вносить продиктованные жизнью коррективы в реализацию решений органов исполнительной власти. Дан</w:t>
      </w:r>
      <w:r>
        <w:rPr>
          <w:rFonts w:ascii="PT Astra Serif" w:hAnsi="PT Astra Serif" w:cs="Times New Roman"/>
          <w:sz w:val="28"/>
          <w:szCs w:val="28"/>
        </w:rPr>
        <w:t>ная работа</w:t>
      </w:r>
      <w:r w:rsidR="009A29F8">
        <w:rPr>
          <w:rFonts w:ascii="PT Astra Serif" w:hAnsi="PT Astra Serif" w:cs="Times New Roman"/>
          <w:sz w:val="28"/>
          <w:szCs w:val="28"/>
        </w:rPr>
        <w:t xml:space="preserve"> направлена на качественное рассмотрение письменных и устных обращений, организацию и проведение личных приемов руководством Министерства.</w:t>
      </w:r>
    </w:p>
    <w:p w:rsidR="00EB6013" w:rsidRDefault="00FF752C" w:rsidP="00622279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</w:t>
      </w:r>
      <w:r w:rsidR="00A50ECA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E592D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>201</w:t>
      </w:r>
      <w:r w:rsidR="00EE1077" w:rsidRPr="003049BD">
        <w:rPr>
          <w:rFonts w:ascii="PT Astra Serif" w:hAnsi="PT Astra Serif" w:cs="Times New Roman"/>
          <w:b/>
          <w:sz w:val="28"/>
          <w:szCs w:val="28"/>
        </w:rPr>
        <w:t>9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D73987">
        <w:rPr>
          <w:rFonts w:ascii="PT Astra Serif" w:hAnsi="PT Astra Serif" w:cs="Times New Roman"/>
          <w:b/>
          <w:sz w:val="28"/>
          <w:szCs w:val="28"/>
        </w:rPr>
        <w:t xml:space="preserve">у </w:t>
      </w:r>
      <w:r w:rsidR="00B42154"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Министерством  семейной, демографической политики и социального благополучия Ульяновской области рассмотрено </w:t>
      </w:r>
      <w:r w:rsidR="00D73987">
        <w:rPr>
          <w:rFonts w:ascii="PT Astra Serif" w:hAnsi="PT Astra Serif" w:cs="Times New Roman"/>
          <w:b/>
          <w:sz w:val="28"/>
          <w:szCs w:val="28"/>
        </w:rPr>
        <w:t>3998</w:t>
      </w:r>
      <w:r w:rsidR="00B87E8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>обращени</w:t>
      </w:r>
      <w:r w:rsidR="00D73987">
        <w:rPr>
          <w:rFonts w:ascii="PT Astra Serif" w:hAnsi="PT Astra Serif" w:cs="Times New Roman"/>
          <w:sz w:val="28"/>
          <w:szCs w:val="28"/>
        </w:rPr>
        <w:t>й</w:t>
      </w:r>
      <w:r w:rsidR="00B87E89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 граждан и организаций.</w:t>
      </w:r>
      <w:r w:rsidR="002F0D82">
        <w:rPr>
          <w:rFonts w:ascii="PT Astra Serif" w:hAnsi="PT Astra Serif" w:cs="Times New Roman"/>
          <w:sz w:val="28"/>
          <w:szCs w:val="28"/>
        </w:rPr>
        <w:t xml:space="preserve"> </w:t>
      </w:r>
      <w:r w:rsidR="00D73987">
        <w:rPr>
          <w:rFonts w:ascii="PT Astra Serif" w:hAnsi="PT Astra Serif" w:cs="Times New Roman"/>
          <w:sz w:val="28"/>
          <w:szCs w:val="28"/>
        </w:rPr>
        <w:t>Со второго квартала 2019 г. отмечается снижение активности граждан</w:t>
      </w:r>
      <w:r w:rsidR="00622279">
        <w:rPr>
          <w:rFonts w:ascii="PT Astra Serif" w:hAnsi="PT Astra Serif" w:cs="Times New Roman"/>
          <w:sz w:val="28"/>
          <w:szCs w:val="28"/>
        </w:rPr>
        <w:t>, э</w:t>
      </w:r>
      <w:r w:rsidR="00D73987">
        <w:rPr>
          <w:rFonts w:ascii="PT Astra Serif" w:hAnsi="PT Astra Serif" w:cs="Times New Roman"/>
          <w:sz w:val="28"/>
          <w:szCs w:val="28"/>
        </w:rPr>
        <w:t xml:space="preserve">то объясняется тем, что </w:t>
      </w:r>
      <w:r w:rsidR="006154AC">
        <w:rPr>
          <w:rFonts w:ascii="PT Astra Serif" w:hAnsi="PT Astra Serif" w:cs="Times New Roman"/>
          <w:sz w:val="28"/>
          <w:szCs w:val="28"/>
        </w:rPr>
        <w:t>Министерством в течени</w:t>
      </w:r>
      <w:r w:rsidR="003961B1">
        <w:rPr>
          <w:rFonts w:ascii="PT Astra Serif" w:hAnsi="PT Astra Serif" w:cs="Times New Roman"/>
          <w:sz w:val="28"/>
          <w:szCs w:val="28"/>
        </w:rPr>
        <w:t xml:space="preserve">е </w:t>
      </w:r>
      <w:r w:rsidR="00622279">
        <w:rPr>
          <w:rFonts w:ascii="PT Astra Serif" w:hAnsi="PT Astra Serif" w:cs="Times New Roman"/>
          <w:sz w:val="28"/>
          <w:szCs w:val="28"/>
        </w:rPr>
        <w:t xml:space="preserve">  всего года проводилась значительная работа по разъяснению норм и положений нормативных актов</w:t>
      </w:r>
      <w:r w:rsidR="00A05EDB">
        <w:rPr>
          <w:rFonts w:ascii="PT Astra Serif" w:hAnsi="PT Astra Serif" w:cs="Times New Roman"/>
          <w:sz w:val="28"/>
          <w:szCs w:val="28"/>
        </w:rPr>
        <w:t xml:space="preserve"> населению</w:t>
      </w:r>
      <w:r w:rsidR="006154AC">
        <w:rPr>
          <w:rFonts w:ascii="PT Astra Serif" w:hAnsi="PT Astra Serif" w:cs="Times New Roman"/>
          <w:sz w:val="28"/>
          <w:szCs w:val="28"/>
        </w:rPr>
        <w:t>, что</w:t>
      </w:r>
      <w:r w:rsidR="00622279">
        <w:rPr>
          <w:rFonts w:ascii="PT Astra Serif" w:hAnsi="PT Astra Serif" w:cs="Times New Roman"/>
          <w:sz w:val="28"/>
          <w:szCs w:val="28"/>
        </w:rPr>
        <w:t xml:space="preserve"> повлияло на снижение социальной напряженности в обществе и количественному снижению обращений граждан.</w:t>
      </w:r>
    </w:p>
    <w:p w:rsidR="003961B1" w:rsidRDefault="003961B1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F0567" w:rsidRDefault="00C74EC6" w:rsidP="003961B1">
      <w:pPr>
        <w:pStyle w:val="a5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источнику поступления обращения распределились следующим образом:</w:t>
      </w:r>
    </w:p>
    <w:p w:rsidR="003961B1" w:rsidRDefault="003961B1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435"/>
        <w:gridCol w:w="1456"/>
        <w:gridCol w:w="1457"/>
        <w:gridCol w:w="1457"/>
        <w:gridCol w:w="1457"/>
        <w:gridCol w:w="1345"/>
      </w:tblGrid>
      <w:tr w:rsidR="00C74EC6" w:rsidTr="002F4758">
        <w:tc>
          <w:tcPr>
            <w:tcW w:w="534" w:type="dxa"/>
          </w:tcPr>
          <w:p w:rsidR="00C74EC6" w:rsidRDefault="00C74EC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</w:tcPr>
          <w:p w:rsidR="00C74EC6" w:rsidRDefault="00C74EC6" w:rsidP="00C74EC6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62" w:type="dxa"/>
          </w:tcPr>
          <w:p w:rsidR="00C74EC6" w:rsidRDefault="00C74EC6" w:rsidP="00C74EC6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 квартал</w:t>
            </w:r>
          </w:p>
        </w:tc>
        <w:tc>
          <w:tcPr>
            <w:tcW w:w="1463" w:type="dxa"/>
          </w:tcPr>
          <w:p w:rsidR="00C74EC6" w:rsidRDefault="00C74EC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 квартал</w:t>
            </w:r>
          </w:p>
        </w:tc>
        <w:tc>
          <w:tcPr>
            <w:tcW w:w="1463" w:type="dxa"/>
          </w:tcPr>
          <w:p w:rsidR="00C74EC6" w:rsidRDefault="00C74EC6" w:rsidP="00C74EC6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 квартал</w:t>
            </w:r>
          </w:p>
        </w:tc>
        <w:tc>
          <w:tcPr>
            <w:tcW w:w="1463" w:type="dxa"/>
          </w:tcPr>
          <w:p w:rsidR="00C74EC6" w:rsidRDefault="00C74EC6" w:rsidP="00C74EC6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 квартал</w:t>
            </w:r>
          </w:p>
        </w:tc>
        <w:tc>
          <w:tcPr>
            <w:tcW w:w="1353" w:type="dxa"/>
          </w:tcPr>
          <w:p w:rsidR="00C74EC6" w:rsidRDefault="00C74EC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2019г.</w:t>
            </w:r>
          </w:p>
        </w:tc>
      </w:tr>
      <w:tr w:rsidR="00C74EC6" w:rsidTr="002F4758">
        <w:tc>
          <w:tcPr>
            <w:tcW w:w="534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C74EC6" w:rsidRDefault="00C74EC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1462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670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370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390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466</w:t>
            </w:r>
          </w:p>
        </w:tc>
        <w:tc>
          <w:tcPr>
            <w:tcW w:w="1353" w:type="dxa"/>
          </w:tcPr>
          <w:p w:rsidR="00C74EC6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1896</w:t>
            </w:r>
          </w:p>
        </w:tc>
      </w:tr>
      <w:tr w:rsidR="00C74EC6" w:rsidTr="002F4758">
        <w:tc>
          <w:tcPr>
            <w:tcW w:w="534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C74EC6" w:rsidRDefault="0046374C" w:rsidP="0046374C">
            <w:pPr>
              <w:pStyle w:val="a5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Поступившие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на имя руководителя ИОГВ</w:t>
            </w:r>
          </w:p>
        </w:tc>
        <w:tc>
          <w:tcPr>
            <w:tcW w:w="1462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697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382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568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414</w:t>
            </w:r>
          </w:p>
        </w:tc>
        <w:tc>
          <w:tcPr>
            <w:tcW w:w="1353" w:type="dxa"/>
          </w:tcPr>
          <w:p w:rsidR="00C74EC6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2061</w:t>
            </w:r>
          </w:p>
        </w:tc>
      </w:tr>
      <w:tr w:rsidR="00C74EC6" w:rsidTr="002F4758">
        <w:tc>
          <w:tcPr>
            <w:tcW w:w="534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C74EC6" w:rsidRDefault="00C74EC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Коллективные </w:t>
            </w:r>
            <w:r w:rsidR="002F4758">
              <w:rPr>
                <w:rFonts w:ascii="PT Astra Serif" w:hAnsi="PT Astra Serif" w:cs="Times New Roman"/>
                <w:sz w:val="28"/>
                <w:szCs w:val="28"/>
              </w:rPr>
              <w:t>обращения</w:t>
            </w:r>
          </w:p>
        </w:tc>
        <w:tc>
          <w:tcPr>
            <w:tcW w:w="1462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353" w:type="dxa"/>
          </w:tcPr>
          <w:p w:rsidR="00C74EC6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</w:tr>
      <w:tr w:rsidR="00C74EC6" w:rsidTr="002F4758">
        <w:tc>
          <w:tcPr>
            <w:tcW w:w="534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C74EC6" w:rsidRDefault="0046374C" w:rsidP="0046374C">
            <w:pPr>
              <w:pStyle w:val="a5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2F4758"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оступивших  из  вышестоящих  инстанций  с </w:t>
            </w:r>
            <w:r w:rsidR="002F47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F4758"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указанием  </w:t>
            </w:r>
            <w:r w:rsidR="002F47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F4758" w:rsidRPr="00612EB5">
              <w:rPr>
                <w:rFonts w:ascii="PT Astra Serif" w:hAnsi="PT Astra Serif" w:cs="Times New Roman"/>
                <w:sz w:val="28"/>
                <w:szCs w:val="28"/>
              </w:rPr>
              <w:t>основной</w:t>
            </w:r>
            <w:r w:rsidR="002F47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F4758"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F4758" w:rsidRPr="00612EB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тематики (за исключением количества </w:t>
            </w:r>
            <w:r w:rsidR="002F47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F4758"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переадресованных   из </w:t>
            </w:r>
            <w:r w:rsidR="002F47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F4758" w:rsidRPr="00612EB5">
              <w:rPr>
                <w:rFonts w:ascii="PT Astra Serif" w:hAnsi="PT Astra Serif" w:cs="Times New Roman"/>
                <w:sz w:val="28"/>
                <w:szCs w:val="28"/>
              </w:rPr>
              <w:t>Правительства  Ульяновской области)</w:t>
            </w:r>
            <w:proofErr w:type="gramEnd"/>
          </w:p>
        </w:tc>
        <w:tc>
          <w:tcPr>
            <w:tcW w:w="1462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188</w:t>
            </w:r>
          </w:p>
        </w:tc>
        <w:tc>
          <w:tcPr>
            <w:tcW w:w="1353" w:type="dxa"/>
          </w:tcPr>
          <w:p w:rsidR="00C74EC6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357</w:t>
            </w:r>
          </w:p>
        </w:tc>
      </w:tr>
      <w:tr w:rsidR="00C74EC6" w:rsidTr="002F4758">
        <w:tc>
          <w:tcPr>
            <w:tcW w:w="534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5" w:type="dxa"/>
          </w:tcPr>
          <w:p w:rsidR="00C74EC6" w:rsidRDefault="0046374C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="002F4758"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ичных приемов руководителя </w:t>
            </w:r>
            <w:r w:rsidR="002F4758" w:rsidRPr="00D072F2">
              <w:rPr>
                <w:rFonts w:ascii="PT Astra Serif" w:hAnsi="PT Astra Serif" w:cs="Times New Roman"/>
                <w:sz w:val="28"/>
                <w:szCs w:val="28"/>
              </w:rPr>
              <w:t>ИОГВ</w:t>
            </w:r>
          </w:p>
        </w:tc>
        <w:tc>
          <w:tcPr>
            <w:tcW w:w="1462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C74EC6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C74EC6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</w:tr>
      <w:tr w:rsidR="002F4758" w:rsidTr="002F4758">
        <w:tc>
          <w:tcPr>
            <w:tcW w:w="534" w:type="dxa"/>
          </w:tcPr>
          <w:p w:rsidR="002F4758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2F4758" w:rsidRPr="00622279" w:rsidRDefault="002F4758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22279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2F4758" w:rsidRPr="00622279" w:rsidRDefault="00660601" w:rsidP="00660601">
            <w:pPr>
              <w:pStyle w:val="a5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22279">
              <w:rPr>
                <w:rFonts w:ascii="PT Astra Serif" w:hAnsi="PT Astra Serif" w:cs="Times New Roman"/>
                <w:b/>
                <w:sz w:val="28"/>
                <w:szCs w:val="28"/>
              </w:rPr>
              <w:t>1366</w:t>
            </w:r>
          </w:p>
        </w:tc>
        <w:tc>
          <w:tcPr>
            <w:tcW w:w="1463" w:type="dxa"/>
          </w:tcPr>
          <w:p w:rsidR="002F4758" w:rsidRPr="00622279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22279">
              <w:rPr>
                <w:rFonts w:ascii="PT Astra Serif" w:hAnsi="PT Astra Serif" w:cs="Times New Roman"/>
                <w:b/>
                <w:sz w:val="28"/>
                <w:szCs w:val="28"/>
              </w:rPr>
              <w:t>793</w:t>
            </w:r>
          </w:p>
        </w:tc>
        <w:tc>
          <w:tcPr>
            <w:tcW w:w="1463" w:type="dxa"/>
          </w:tcPr>
          <w:p w:rsidR="002F4758" w:rsidRPr="00622279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22279">
              <w:rPr>
                <w:rFonts w:ascii="PT Astra Serif" w:hAnsi="PT Astra Serif" w:cs="Times New Roman"/>
                <w:b/>
                <w:sz w:val="28"/>
                <w:szCs w:val="28"/>
              </w:rPr>
              <w:t>958</w:t>
            </w:r>
          </w:p>
        </w:tc>
        <w:tc>
          <w:tcPr>
            <w:tcW w:w="1463" w:type="dxa"/>
          </w:tcPr>
          <w:p w:rsidR="002F4758" w:rsidRPr="00622279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22279">
              <w:rPr>
                <w:rFonts w:ascii="PT Astra Serif" w:hAnsi="PT Astra Serif" w:cs="Times New Roman"/>
                <w:b/>
                <w:sz w:val="28"/>
                <w:szCs w:val="28"/>
              </w:rPr>
              <w:t>881</w:t>
            </w:r>
          </w:p>
        </w:tc>
        <w:tc>
          <w:tcPr>
            <w:tcW w:w="1353" w:type="dxa"/>
          </w:tcPr>
          <w:p w:rsidR="002F4758" w:rsidRPr="00622279" w:rsidRDefault="00660601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22279">
              <w:rPr>
                <w:rFonts w:ascii="PT Astra Serif" w:hAnsi="PT Astra Serif" w:cs="Times New Roman"/>
                <w:b/>
                <w:sz w:val="28"/>
                <w:szCs w:val="28"/>
              </w:rPr>
              <w:t>3998</w:t>
            </w:r>
          </w:p>
        </w:tc>
      </w:tr>
    </w:tbl>
    <w:p w:rsidR="00C74EC6" w:rsidRPr="006341D0" w:rsidRDefault="00C74EC6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D6883" w:rsidRPr="00F57EB7" w:rsidRDefault="00FD6883" w:rsidP="00622279">
      <w:pPr>
        <w:widowControl w:val="0"/>
        <w:tabs>
          <w:tab w:val="left" w:pos="900"/>
        </w:tabs>
        <w:spacing w:after="0"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szCs w:val="28"/>
        </w:rPr>
        <w:tab/>
      </w:r>
      <w:r w:rsidRPr="00F57EB7">
        <w:rPr>
          <w:rFonts w:ascii="PT Astra Serif" w:hAnsi="PT Astra Serif"/>
          <w:sz w:val="28"/>
          <w:szCs w:val="28"/>
        </w:rPr>
        <w:t xml:space="preserve">Соотношение количества обращений, направленных жителями Ульяновской области в </w:t>
      </w:r>
      <w:r w:rsidR="00622279">
        <w:rPr>
          <w:rFonts w:ascii="PT Astra Serif" w:hAnsi="PT Astra Serif"/>
          <w:sz w:val="28"/>
          <w:szCs w:val="28"/>
        </w:rPr>
        <w:t xml:space="preserve">2019 </w:t>
      </w:r>
      <w:r w:rsidR="00A05EDB">
        <w:rPr>
          <w:rFonts w:ascii="PT Astra Serif" w:hAnsi="PT Astra Serif"/>
          <w:sz w:val="28"/>
          <w:szCs w:val="28"/>
        </w:rPr>
        <w:t>году по кварталам</w:t>
      </w:r>
      <w:r w:rsidR="003961B1">
        <w:rPr>
          <w:rFonts w:ascii="PT Astra Serif" w:hAnsi="PT Astra Serif"/>
          <w:sz w:val="28"/>
          <w:szCs w:val="28"/>
        </w:rPr>
        <w:t xml:space="preserve">  </w:t>
      </w:r>
      <w:r w:rsidR="00F57EB7" w:rsidRPr="00F57EB7">
        <w:rPr>
          <w:rFonts w:ascii="PT Astra Serif" w:hAnsi="PT Astra Serif"/>
          <w:sz w:val="28"/>
          <w:szCs w:val="28"/>
        </w:rPr>
        <w:t>№</w:t>
      </w:r>
      <w:r w:rsidRPr="00F57EB7">
        <w:rPr>
          <w:rFonts w:ascii="PT Astra Serif" w:hAnsi="PT Astra Serif"/>
          <w:sz w:val="28"/>
          <w:szCs w:val="28"/>
        </w:rPr>
        <w:t xml:space="preserve"> 1 «Соотношение поступивших обращений из разных инстанций».</w:t>
      </w:r>
      <w:r w:rsidR="00E3097B">
        <w:rPr>
          <w:rFonts w:ascii="PT Astra Serif" w:hAnsi="PT Astra Serif"/>
          <w:sz w:val="28"/>
          <w:szCs w:val="28"/>
        </w:rPr>
        <w:t xml:space="preserve"> </w:t>
      </w:r>
    </w:p>
    <w:p w:rsidR="001F6E88" w:rsidRPr="00AA29D4" w:rsidRDefault="00FD6883" w:rsidP="00FD688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/>
          <w:noProof/>
          <w:lang w:eastAsia="ru-RU"/>
        </w:rPr>
        <w:t xml:space="preserve"> </w:t>
      </w:r>
      <w:r w:rsidR="00B65321" w:rsidRPr="003049BD">
        <w:rPr>
          <w:rFonts w:ascii="PT Astra Serif" w:hAnsi="PT Astra Serif"/>
          <w:noProof/>
          <w:lang w:eastAsia="ru-RU"/>
        </w:rPr>
        <w:drawing>
          <wp:inline distT="0" distB="0" distL="0" distR="0" wp14:anchorId="2C166276" wp14:editId="71CC2301">
            <wp:extent cx="6372225" cy="3562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AB3" w:rsidRDefault="003C0AB3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D5DD1" w:rsidRDefault="008D5DD1" w:rsidP="008D5DD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Причины обращений граждан многогранны, они носят </w:t>
      </w:r>
      <w:r w:rsidR="00A05EDB">
        <w:rPr>
          <w:rFonts w:ascii="PT Astra Serif" w:hAnsi="PT Astra Serif" w:cs="Times New Roman"/>
          <w:sz w:val="28"/>
          <w:szCs w:val="28"/>
        </w:rPr>
        <w:t xml:space="preserve">как общий, так и частный характер. </w:t>
      </w:r>
      <w:r w:rsidR="006154AC">
        <w:rPr>
          <w:rFonts w:ascii="PT Astra Serif" w:hAnsi="PT Astra Serif" w:cs="Times New Roman"/>
          <w:sz w:val="28"/>
          <w:szCs w:val="28"/>
        </w:rPr>
        <w:t>Содержание обращений находи</w:t>
      </w:r>
      <w:r>
        <w:rPr>
          <w:rFonts w:ascii="PT Astra Serif" w:hAnsi="PT Astra Serif" w:cs="Times New Roman"/>
          <w:sz w:val="28"/>
          <w:szCs w:val="28"/>
        </w:rPr>
        <w:t>тся в прямой зависимости от социально-экономического положения в стране, отражающегося на уровне жизни всего населения,  и особенно тех людей, которые остро нуждаются в социальной поддержке государства</w:t>
      </w:r>
    </w:p>
    <w:p w:rsidR="00F8743E" w:rsidRDefault="00F8743E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961B1" w:rsidRDefault="003961B1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961B1" w:rsidRDefault="003961B1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961B1" w:rsidRPr="003049BD" w:rsidRDefault="003961B1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B0FF3" w:rsidRDefault="006154AC" w:rsidP="00B53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Обращения по</w:t>
      </w:r>
      <w:r w:rsidR="00AB0FF3" w:rsidRPr="003049BD">
        <w:rPr>
          <w:rFonts w:ascii="PT Astra Serif" w:hAnsi="PT Astra Serif" w:cs="Times New Roman"/>
          <w:b/>
          <w:sz w:val="28"/>
          <w:szCs w:val="28"/>
        </w:rPr>
        <w:t xml:space="preserve"> вопросам социального блока</w:t>
      </w:r>
      <w:r w:rsidR="00B53A54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распределили</w:t>
      </w:r>
      <w:r w:rsidR="00084C24">
        <w:rPr>
          <w:rFonts w:ascii="PT Astra Serif" w:hAnsi="PT Astra Serif" w:cs="Times New Roman"/>
          <w:sz w:val="28"/>
          <w:szCs w:val="28"/>
        </w:rPr>
        <w:t>сь следующим образом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049BD">
        <w:rPr>
          <w:rFonts w:ascii="PT Astra Serif" w:hAnsi="PT Astra Serif" w:cs="Times New Roman"/>
          <w:sz w:val="28"/>
          <w:szCs w:val="28"/>
        </w:rPr>
        <w:t>(АППГ - нет данных)</w:t>
      </w:r>
      <w:r w:rsidR="00AB0FF3" w:rsidRPr="003049BD">
        <w:rPr>
          <w:rFonts w:ascii="PT Astra Serif" w:hAnsi="PT Astra Serif" w:cs="Times New Roman"/>
          <w:b/>
          <w:sz w:val="28"/>
          <w:szCs w:val="28"/>
        </w:rPr>
        <w:t>:</w:t>
      </w:r>
    </w:p>
    <w:p w:rsidR="00622279" w:rsidRPr="003049BD" w:rsidRDefault="00622279" w:rsidP="00622279">
      <w:pPr>
        <w:pStyle w:val="a5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67"/>
        <w:gridCol w:w="1381"/>
        <w:gridCol w:w="1383"/>
        <w:gridCol w:w="1383"/>
        <w:gridCol w:w="1383"/>
        <w:gridCol w:w="1383"/>
      </w:tblGrid>
      <w:tr w:rsidR="00D9333B" w:rsidTr="00D9333B">
        <w:tc>
          <w:tcPr>
            <w:tcW w:w="993" w:type="dxa"/>
          </w:tcPr>
          <w:p w:rsidR="00D9333B" w:rsidRDefault="00D9333B" w:rsidP="004B2B0A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</w:tcPr>
          <w:p w:rsidR="00D9333B" w:rsidRDefault="00D9333B" w:rsidP="004B2B0A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81" w:type="dxa"/>
          </w:tcPr>
          <w:p w:rsidR="00D9333B" w:rsidRDefault="00D9333B" w:rsidP="004B2B0A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 квартал</w:t>
            </w:r>
          </w:p>
        </w:tc>
        <w:tc>
          <w:tcPr>
            <w:tcW w:w="1383" w:type="dxa"/>
          </w:tcPr>
          <w:p w:rsidR="00D9333B" w:rsidRDefault="00D9333B" w:rsidP="004B2B0A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 квартал</w:t>
            </w:r>
          </w:p>
        </w:tc>
        <w:tc>
          <w:tcPr>
            <w:tcW w:w="1383" w:type="dxa"/>
          </w:tcPr>
          <w:p w:rsidR="00D9333B" w:rsidRDefault="00D9333B" w:rsidP="004B2B0A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 квартал</w:t>
            </w:r>
          </w:p>
        </w:tc>
        <w:tc>
          <w:tcPr>
            <w:tcW w:w="1383" w:type="dxa"/>
          </w:tcPr>
          <w:p w:rsidR="00D9333B" w:rsidRDefault="00D9333B" w:rsidP="004B2B0A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 квартал</w:t>
            </w:r>
          </w:p>
        </w:tc>
        <w:tc>
          <w:tcPr>
            <w:tcW w:w="1383" w:type="dxa"/>
          </w:tcPr>
          <w:p w:rsidR="00D9333B" w:rsidRDefault="00D9333B" w:rsidP="004B2B0A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2019г.</w:t>
            </w:r>
          </w:p>
        </w:tc>
      </w:tr>
      <w:tr w:rsidR="00622279" w:rsidTr="00D9333B">
        <w:tc>
          <w:tcPr>
            <w:tcW w:w="993" w:type="dxa"/>
          </w:tcPr>
          <w:p w:rsidR="00622279" w:rsidRPr="00D9333B" w:rsidRDefault="00622279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22279" w:rsidRDefault="00622279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1381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467 или 34%</w:t>
            </w:r>
          </w:p>
        </w:tc>
        <w:tc>
          <w:tcPr>
            <w:tcW w:w="1383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243  или  29%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465  или  29%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416 или  45%</w:t>
            </w:r>
          </w:p>
        </w:tc>
        <w:tc>
          <w:tcPr>
            <w:tcW w:w="1383" w:type="dxa"/>
          </w:tcPr>
          <w:p w:rsidR="00622279" w:rsidRDefault="00476B7F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1591</w:t>
            </w:r>
          </w:p>
        </w:tc>
      </w:tr>
      <w:tr w:rsidR="00622279" w:rsidTr="00D9333B">
        <w:tc>
          <w:tcPr>
            <w:tcW w:w="993" w:type="dxa"/>
          </w:tcPr>
          <w:p w:rsidR="00622279" w:rsidRPr="00D9333B" w:rsidRDefault="00622279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22279" w:rsidRDefault="00622279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381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269 или 22%</w:t>
            </w:r>
          </w:p>
        </w:tc>
        <w:tc>
          <w:tcPr>
            <w:tcW w:w="1383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238 или 28%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217 или 28%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273 или 30%</w:t>
            </w:r>
          </w:p>
        </w:tc>
        <w:tc>
          <w:tcPr>
            <w:tcW w:w="1383" w:type="dxa"/>
          </w:tcPr>
          <w:p w:rsidR="00622279" w:rsidRDefault="00476B7F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997</w:t>
            </w:r>
          </w:p>
        </w:tc>
      </w:tr>
      <w:tr w:rsidR="00622279" w:rsidTr="00C33DAC">
        <w:trPr>
          <w:trHeight w:val="820"/>
        </w:trPr>
        <w:tc>
          <w:tcPr>
            <w:tcW w:w="993" w:type="dxa"/>
          </w:tcPr>
          <w:p w:rsidR="00622279" w:rsidRPr="00D9333B" w:rsidRDefault="00622279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22279" w:rsidRDefault="00D9333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1381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37 или 3%</w:t>
            </w:r>
          </w:p>
        </w:tc>
        <w:tc>
          <w:tcPr>
            <w:tcW w:w="1383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23 или 3%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23 или 3%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28 или 3%</w:t>
            </w:r>
          </w:p>
        </w:tc>
        <w:tc>
          <w:tcPr>
            <w:tcW w:w="1383" w:type="dxa"/>
          </w:tcPr>
          <w:p w:rsidR="00622279" w:rsidRDefault="00476B7F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111</w:t>
            </w:r>
          </w:p>
        </w:tc>
      </w:tr>
      <w:tr w:rsidR="00622279" w:rsidTr="00D9333B">
        <w:tc>
          <w:tcPr>
            <w:tcW w:w="993" w:type="dxa"/>
          </w:tcPr>
          <w:p w:rsidR="00622279" w:rsidRPr="00D9333B" w:rsidRDefault="00622279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22279" w:rsidRDefault="00D9333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1381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189 или 15%</w:t>
            </w:r>
          </w:p>
        </w:tc>
        <w:tc>
          <w:tcPr>
            <w:tcW w:w="1383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82 или 10%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63  или 10%</w:t>
            </w:r>
          </w:p>
        </w:tc>
        <w:tc>
          <w:tcPr>
            <w:tcW w:w="1383" w:type="dxa"/>
          </w:tcPr>
          <w:p w:rsidR="00A05EDB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 xml:space="preserve">70  или  </w:t>
            </w:r>
          </w:p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8 %</w:t>
            </w:r>
          </w:p>
        </w:tc>
        <w:tc>
          <w:tcPr>
            <w:tcW w:w="1383" w:type="dxa"/>
          </w:tcPr>
          <w:p w:rsidR="00622279" w:rsidRDefault="00476B7F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404</w:t>
            </w:r>
          </w:p>
        </w:tc>
      </w:tr>
      <w:tr w:rsidR="00622279" w:rsidTr="00D9333B">
        <w:tc>
          <w:tcPr>
            <w:tcW w:w="993" w:type="dxa"/>
          </w:tcPr>
          <w:p w:rsidR="00622279" w:rsidRPr="00D9333B" w:rsidRDefault="00622279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22279" w:rsidRDefault="00D9333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1381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82 или 7%</w:t>
            </w:r>
          </w:p>
        </w:tc>
        <w:tc>
          <w:tcPr>
            <w:tcW w:w="1383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45  или 5%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15  или 5%</w:t>
            </w:r>
          </w:p>
        </w:tc>
        <w:tc>
          <w:tcPr>
            <w:tcW w:w="1383" w:type="dxa"/>
          </w:tcPr>
          <w:p w:rsidR="00A05EDB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 xml:space="preserve">9  или </w:t>
            </w:r>
          </w:p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1%</w:t>
            </w:r>
          </w:p>
        </w:tc>
        <w:tc>
          <w:tcPr>
            <w:tcW w:w="1383" w:type="dxa"/>
          </w:tcPr>
          <w:p w:rsidR="00622279" w:rsidRDefault="00476B7F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151</w:t>
            </w:r>
          </w:p>
        </w:tc>
      </w:tr>
      <w:tr w:rsidR="00622279" w:rsidTr="00D9333B">
        <w:tc>
          <w:tcPr>
            <w:tcW w:w="993" w:type="dxa"/>
          </w:tcPr>
          <w:p w:rsidR="00622279" w:rsidRPr="00D9333B" w:rsidRDefault="00622279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22279" w:rsidRDefault="00D9333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1381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183 или 15%</w:t>
            </w:r>
          </w:p>
        </w:tc>
        <w:tc>
          <w:tcPr>
            <w:tcW w:w="1383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89 или 11%</w:t>
            </w:r>
          </w:p>
        </w:tc>
        <w:tc>
          <w:tcPr>
            <w:tcW w:w="1383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93 или 11%</w:t>
            </w:r>
          </w:p>
        </w:tc>
        <w:tc>
          <w:tcPr>
            <w:tcW w:w="1383" w:type="dxa"/>
          </w:tcPr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85 или 9%</w:t>
            </w:r>
          </w:p>
        </w:tc>
        <w:tc>
          <w:tcPr>
            <w:tcW w:w="1383" w:type="dxa"/>
          </w:tcPr>
          <w:p w:rsidR="00622279" w:rsidRDefault="00476B7F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450</w:t>
            </w:r>
          </w:p>
        </w:tc>
      </w:tr>
      <w:tr w:rsidR="00622279" w:rsidTr="00D9333B">
        <w:tc>
          <w:tcPr>
            <w:tcW w:w="993" w:type="dxa"/>
          </w:tcPr>
          <w:p w:rsidR="00622279" w:rsidRPr="00D9333B" w:rsidRDefault="00622279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22279" w:rsidRDefault="00D9333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1381" w:type="dxa"/>
          </w:tcPr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14 или 1%</w:t>
            </w:r>
          </w:p>
        </w:tc>
        <w:tc>
          <w:tcPr>
            <w:tcW w:w="1383" w:type="dxa"/>
          </w:tcPr>
          <w:p w:rsidR="00A05EDB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4  или</w:t>
            </w:r>
          </w:p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 xml:space="preserve"> 1%</w:t>
            </w:r>
          </w:p>
        </w:tc>
        <w:tc>
          <w:tcPr>
            <w:tcW w:w="1383" w:type="dxa"/>
          </w:tcPr>
          <w:p w:rsidR="00A05EDB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 xml:space="preserve">3  или </w:t>
            </w:r>
          </w:p>
          <w:p w:rsidR="00622279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1%</w:t>
            </w:r>
          </w:p>
        </w:tc>
        <w:tc>
          <w:tcPr>
            <w:tcW w:w="1383" w:type="dxa"/>
          </w:tcPr>
          <w:p w:rsidR="00A05EDB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1 или</w:t>
            </w:r>
          </w:p>
          <w:p w:rsidR="00622279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 xml:space="preserve"> 1%</w:t>
            </w:r>
          </w:p>
        </w:tc>
        <w:tc>
          <w:tcPr>
            <w:tcW w:w="1383" w:type="dxa"/>
          </w:tcPr>
          <w:p w:rsidR="00622279" w:rsidRDefault="00D71D7C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22</w:t>
            </w:r>
          </w:p>
        </w:tc>
      </w:tr>
      <w:tr w:rsidR="00D9333B" w:rsidTr="00D9333B">
        <w:tc>
          <w:tcPr>
            <w:tcW w:w="993" w:type="dxa"/>
          </w:tcPr>
          <w:p w:rsidR="00D9333B" w:rsidRPr="00D9333B" w:rsidRDefault="00D9333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D9333B" w:rsidRPr="00F8743E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По вопросам социального страхования</w:t>
            </w:r>
          </w:p>
        </w:tc>
        <w:tc>
          <w:tcPr>
            <w:tcW w:w="1381" w:type="dxa"/>
          </w:tcPr>
          <w:p w:rsidR="00D9333B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17 или 1%</w:t>
            </w:r>
          </w:p>
        </w:tc>
        <w:tc>
          <w:tcPr>
            <w:tcW w:w="1383" w:type="dxa"/>
          </w:tcPr>
          <w:p w:rsidR="00D9333B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21 или  3%</w:t>
            </w:r>
          </w:p>
        </w:tc>
        <w:tc>
          <w:tcPr>
            <w:tcW w:w="1383" w:type="dxa"/>
          </w:tcPr>
          <w:p w:rsidR="00D9333B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21 или  3%</w:t>
            </w:r>
          </w:p>
        </w:tc>
        <w:tc>
          <w:tcPr>
            <w:tcW w:w="1383" w:type="dxa"/>
          </w:tcPr>
          <w:p w:rsidR="00D9333B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20 или  2%</w:t>
            </w:r>
          </w:p>
        </w:tc>
        <w:tc>
          <w:tcPr>
            <w:tcW w:w="1383" w:type="dxa"/>
          </w:tcPr>
          <w:p w:rsidR="00D9333B" w:rsidRDefault="00D71D7C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79</w:t>
            </w:r>
          </w:p>
        </w:tc>
      </w:tr>
      <w:tr w:rsidR="00D9333B" w:rsidTr="00D9333B">
        <w:tc>
          <w:tcPr>
            <w:tcW w:w="993" w:type="dxa"/>
          </w:tcPr>
          <w:p w:rsidR="00D9333B" w:rsidRPr="00D9333B" w:rsidRDefault="00D9333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D9333B" w:rsidRPr="00F8743E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1381" w:type="dxa"/>
          </w:tcPr>
          <w:p w:rsidR="00D9333B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Times New Roman" w:hAnsi="Times New Roman" w:cs="Times New Roman"/>
                <w:sz w:val="28"/>
                <w:szCs w:val="28"/>
              </w:rPr>
              <w:t>108 или 20%</w:t>
            </w:r>
          </w:p>
        </w:tc>
        <w:tc>
          <w:tcPr>
            <w:tcW w:w="1383" w:type="dxa"/>
          </w:tcPr>
          <w:p w:rsidR="00D9333B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80 или 10%</w:t>
            </w:r>
          </w:p>
        </w:tc>
        <w:tc>
          <w:tcPr>
            <w:tcW w:w="1383" w:type="dxa"/>
          </w:tcPr>
          <w:p w:rsidR="00D9333B" w:rsidRPr="00476B7F" w:rsidRDefault="00476B7F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55 или 10%</w:t>
            </w:r>
          </w:p>
        </w:tc>
        <w:tc>
          <w:tcPr>
            <w:tcW w:w="1383" w:type="dxa"/>
          </w:tcPr>
          <w:p w:rsidR="00D9333B" w:rsidRPr="00476B7F" w:rsidRDefault="00D9333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6B7F">
              <w:rPr>
                <w:rFonts w:ascii="PT Astra Serif" w:hAnsi="PT Astra Serif" w:cs="Times New Roman"/>
                <w:sz w:val="28"/>
                <w:szCs w:val="28"/>
              </w:rPr>
              <w:t>19 или 2%</w:t>
            </w:r>
          </w:p>
        </w:tc>
        <w:tc>
          <w:tcPr>
            <w:tcW w:w="1383" w:type="dxa"/>
          </w:tcPr>
          <w:p w:rsidR="00D9333B" w:rsidRDefault="00D71D7C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262</w:t>
            </w:r>
          </w:p>
        </w:tc>
      </w:tr>
    </w:tbl>
    <w:p w:rsidR="00AB0FF3" w:rsidRPr="003049BD" w:rsidRDefault="00AB0FF3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332B" w:rsidRPr="00F57EB7" w:rsidRDefault="00F57EB7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7EB7">
        <w:rPr>
          <w:rFonts w:ascii="PT Astra Serif" w:hAnsi="PT Astra Serif" w:cs="Times New Roman"/>
          <w:sz w:val="28"/>
          <w:szCs w:val="28"/>
        </w:rPr>
        <w:t>Соотношение количества обращений по блокам вопросов в процентном соотношении</w:t>
      </w:r>
      <w:r w:rsidR="00EB6013">
        <w:rPr>
          <w:rFonts w:ascii="PT Astra Serif" w:hAnsi="PT Astra Serif" w:cs="Times New Roman"/>
          <w:sz w:val="28"/>
          <w:szCs w:val="28"/>
        </w:rPr>
        <w:t xml:space="preserve"> </w:t>
      </w:r>
      <w:r w:rsidR="001E6C24">
        <w:rPr>
          <w:rFonts w:ascii="PT Astra Serif" w:hAnsi="PT Astra Serif" w:cs="Times New Roman"/>
          <w:sz w:val="28"/>
          <w:szCs w:val="28"/>
        </w:rPr>
        <w:t xml:space="preserve">за 2019 </w:t>
      </w:r>
      <w:r w:rsidRPr="00F57EB7">
        <w:rPr>
          <w:rFonts w:ascii="PT Astra Serif" w:hAnsi="PT Astra Serif" w:cs="Times New Roman"/>
          <w:sz w:val="28"/>
          <w:szCs w:val="28"/>
        </w:rPr>
        <w:t xml:space="preserve"> год</w:t>
      </w:r>
      <w:r w:rsidR="001E6C24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 xml:space="preserve"> отображено в диаграмме </w:t>
      </w:r>
      <w:r w:rsidR="00D62D42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>№2«Соотношение количества обращений по блокам вопросов</w:t>
      </w:r>
      <w:r w:rsidR="00EB6013">
        <w:rPr>
          <w:rFonts w:ascii="PT Astra Serif" w:hAnsi="PT Astra Serif" w:cs="Times New Roman"/>
          <w:sz w:val="28"/>
          <w:szCs w:val="28"/>
        </w:rPr>
        <w:t xml:space="preserve"> за </w:t>
      </w:r>
      <w:r w:rsidR="001E6C24">
        <w:rPr>
          <w:rFonts w:ascii="PT Astra Serif" w:hAnsi="PT Astra Serif" w:cs="Times New Roman"/>
          <w:sz w:val="28"/>
          <w:szCs w:val="28"/>
        </w:rPr>
        <w:t>2019 год</w:t>
      </w:r>
      <w:r w:rsidRPr="00F57EB7">
        <w:rPr>
          <w:rFonts w:ascii="PT Astra Serif" w:hAnsi="PT Astra Serif" w:cs="Times New Roman"/>
          <w:sz w:val="28"/>
          <w:szCs w:val="28"/>
        </w:rPr>
        <w:t>»</w:t>
      </w:r>
      <w:r w:rsidR="00D62D42">
        <w:rPr>
          <w:rFonts w:ascii="PT Astra Serif" w:hAnsi="PT Astra Serif" w:cs="Times New Roman"/>
          <w:sz w:val="28"/>
          <w:szCs w:val="28"/>
        </w:rPr>
        <w:t>, №3 «Сравнительная диаграмма обращений по блокам вопросов за  2019 г.»</w:t>
      </w: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4B8E" w:rsidRDefault="0091072A" w:rsidP="00ED405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54D340" wp14:editId="3F39074F">
            <wp:extent cx="6076950" cy="62103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3C7A" w:rsidRDefault="00C83C7A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E2D5E" w:rsidRDefault="00F8289E" w:rsidP="00110FD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FD4">
        <w:rPr>
          <w:rFonts w:ascii="PT Astra Serif" w:hAnsi="PT Astra Serif"/>
          <w:sz w:val="28"/>
          <w:szCs w:val="28"/>
        </w:rPr>
        <w:t>Анализируя работу с обращениями граждан,</w:t>
      </w:r>
      <w:r w:rsidR="00110FD4" w:rsidRPr="00110FD4">
        <w:rPr>
          <w:rFonts w:ascii="PT Astra Serif" w:hAnsi="PT Astra Serif"/>
          <w:sz w:val="28"/>
          <w:szCs w:val="28"/>
        </w:rPr>
        <w:t xml:space="preserve"> </w:t>
      </w:r>
      <w:r w:rsidRPr="00110FD4">
        <w:rPr>
          <w:rFonts w:ascii="PT Astra Serif" w:hAnsi="PT Astra Serif"/>
          <w:sz w:val="28"/>
          <w:szCs w:val="28"/>
        </w:rPr>
        <w:t xml:space="preserve">проводимую в Министерстве  </w:t>
      </w:r>
      <w:r w:rsidR="00110FD4" w:rsidRPr="00110FD4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 Ульяновской области,</w:t>
      </w:r>
      <w:r w:rsidR="00110FD4">
        <w:rPr>
          <w:rFonts w:ascii="PT Astra Serif" w:hAnsi="PT Astra Serif"/>
          <w:sz w:val="28"/>
          <w:szCs w:val="28"/>
        </w:rPr>
        <w:t xml:space="preserve"> </w:t>
      </w:r>
      <w:r w:rsidR="00110FD4" w:rsidRPr="00110FD4">
        <w:rPr>
          <w:rFonts w:ascii="PT Astra Serif" w:hAnsi="PT Astra Serif"/>
          <w:sz w:val="28"/>
          <w:szCs w:val="28"/>
        </w:rPr>
        <w:t>можно сделат</w:t>
      </w:r>
      <w:r w:rsidR="00215372">
        <w:rPr>
          <w:rFonts w:ascii="PT Astra Serif" w:hAnsi="PT Astra Serif"/>
          <w:sz w:val="28"/>
          <w:szCs w:val="28"/>
        </w:rPr>
        <w:t>ь вывод, что некоторые проблемы</w:t>
      </w:r>
      <w:r w:rsidR="00110FD4" w:rsidRPr="00110FD4">
        <w:rPr>
          <w:rFonts w:ascii="PT Astra Serif" w:hAnsi="PT Astra Serif"/>
          <w:sz w:val="28"/>
          <w:szCs w:val="28"/>
        </w:rPr>
        <w:t>,</w:t>
      </w:r>
      <w:r w:rsidR="003974E9">
        <w:rPr>
          <w:rFonts w:ascii="PT Astra Serif" w:hAnsi="PT Astra Serif"/>
          <w:sz w:val="28"/>
          <w:szCs w:val="28"/>
        </w:rPr>
        <w:t xml:space="preserve"> </w:t>
      </w:r>
      <w:r w:rsidR="00110FD4" w:rsidRPr="00110FD4">
        <w:rPr>
          <w:rFonts w:ascii="PT Astra Serif" w:hAnsi="PT Astra Serif"/>
          <w:sz w:val="28"/>
          <w:szCs w:val="28"/>
        </w:rPr>
        <w:t>обсуждаемые на приеме или затронутые в письменных обращениях, действительно могут быть решены только на областном или федеральном уровне и требуют дополнительных</w:t>
      </w:r>
      <w:r w:rsidR="00215372">
        <w:rPr>
          <w:rFonts w:ascii="PT Astra Serif" w:hAnsi="PT Astra Serif"/>
          <w:sz w:val="28"/>
          <w:szCs w:val="28"/>
        </w:rPr>
        <w:t xml:space="preserve"> средств, но большинство вопросов</w:t>
      </w:r>
      <w:r w:rsidR="00110FD4" w:rsidRPr="00110FD4">
        <w:rPr>
          <w:rFonts w:ascii="PT Astra Serif" w:hAnsi="PT Astra Serif"/>
          <w:sz w:val="28"/>
          <w:szCs w:val="28"/>
        </w:rPr>
        <w:t xml:space="preserve"> решаются на местах. </w:t>
      </w:r>
      <w:proofErr w:type="gramStart"/>
      <w:r w:rsidR="002736D7">
        <w:rPr>
          <w:rFonts w:ascii="PT Astra Serif" w:hAnsi="PT Astra Serif"/>
          <w:sz w:val="28"/>
          <w:szCs w:val="28"/>
        </w:rPr>
        <w:t>Г</w:t>
      </w:r>
      <w:r w:rsidR="00110FD4">
        <w:rPr>
          <w:rFonts w:ascii="PT Astra Serif" w:hAnsi="PT Astra Serif"/>
          <w:sz w:val="28"/>
          <w:szCs w:val="28"/>
        </w:rPr>
        <w:t>ражданам</w:t>
      </w:r>
      <w:proofErr w:type="gramEnd"/>
      <w:r w:rsidR="00110FD4">
        <w:rPr>
          <w:rFonts w:ascii="PT Astra Serif" w:hAnsi="PT Astra Serif"/>
          <w:sz w:val="28"/>
          <w:szCs w:val="28"/>
        </w:rPr>
        <w:t xml:space="preserve"> обратившимся с обращениями да</w:t>
      </w:r>
      <w:r w:rsidR="002736D7">
        <w:rPr>
          <w:rFonts w:ascii="PT Astra Serif" w:hAnsi="PT Astra Serif"/>
          <w:sz w:val="28"/>
          <w:szCs w:val="28"/>
        </w:rPr>
        <w:t>ны</w:t>
      </w:r>
      <w:r w:rsidR="00110FD4">
        <w:rPr>
          <w:rFonts w:ascii="PT Astra Serif" w:hAnsi="PT Astra Serif"/>
          <w:sz w:val="28"/>
          <w:szCs w:val="28"/>
        </w:rPr>
        <w:t xml:space="preserve"> грамотные, доступные разъяснения действующ</w:t>
      </w:r>
      <w:r w:rsidR="002736D7">
        <w:rPr>
          <w:rFonts w:ascii="PT Astra Serif" w:hAnsi="PT Astra Serif"/>
          <w:sz w:val="28"/>
          <w:szCs w:val="28"/>
        </w:rPr>
        <w:t>их законодательных и нормативно-правовых актов.</w:t>
      </w:r>
    </w:p>
    <w:p w:rsidR="002736D7" w:rsidRDefault="002736D7" w:rsidP="00110FD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61B1" w:rsidRDefault="003961B1" w:rsidP="00110FD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61B1" w:rsidRDefault="003961B1" w:rsidP="00110FD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61B1" w:rsidRPr="00110FD4" w:rsidRDefault="003961B1" w:rsidP="00110FD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83C7A" w:rsidRPr="00110FD4" w:rsidRDefault="00D93DE5" w:rsidP="00110FD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10FD4">
        <w:rPr>
          <w:rFonts w:ascii="PT Astra Serif" w:hAnsi="PT Astra Serif"/>
          <w:sz w:val="28"/>
          <w:szCs w:val="28"/>
        </w:rPr>
        <w:lastRenderedPageBreak/>
        <w:t>Из них:</w:t>
      </w:r>
    </w:p>
    <w:p w:rsidR="00D93DE5" w:rsidRPr="00D93DE5" w:rsidRDefault="00D93DE5" w:rsidP="00E3097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DE2D5E" w:rsidRPr="00D93DE5" w:rsidTr="007E3C05">
        <w:trPr>
          <w:trHeight w:val="506"/>
        </w:trPr>
        <w:tc>
          <w:tcPr>
            <w:tcW w:w="5211" w:type="dxa"/>
          </w:tcPr>
          <w:p w:rsidR="00DE2D5E" w:rsidRPr="00D93DE5" w:rsidRDefault="00DE2D5E" w:rsidP="00702C7E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3828" w:type="dxa"/>
          </w:tcPr>
          <w:p w:rsidR="00DE2D5E" w:rsidRPr="00D93DE5" w:rsidRDefault="00DE2D5E" w:rsidP="00E309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D93DE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E2D5E" w:rsidRPr="00D93DE5" w:rsidTr="00DE2D5E">
        <w:tc>
          <w:tcPr>
            <w:tcW w:w="5211" w:type="dxa"/>
          </w:tcPr>
          <w:p w:rsidR="00DE2D5E" w:rsidRPr="00D93DE5" w:rsidRDefault="00DE2D5E" w:rsidP="00702C7E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 xml:space="preserve">Отказано </w:t>
            </w:r>
            <w:r w:rsidR="0032050B">
              <w:rPr>
                <w:rFonts w:ascii="PT Astra Serif" w:hAnsi="PT Astra Serif"/>
                <w:sz w:val="28"/>
                <w:szCs w:val="28"/>
              </w:rPr>
              <w:t>из-за необоснованности обращения</w:t>
            </w:r>
          </w:p>
        </w:tc>
        <w:tc>
          <w:tcPr>
            <w:tcW w:w="3828" w:type="dxa"/>
          </w:tcPr>
          <w:p w:rsidR="00DE2D5E" w:rsidRPr="00D93DE5" w:rsidRDefault="00DE2D5E" w:rsidP="00E309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D93DE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R="00DE2D5E" w:rsidRPr="00D93DE5" w:rsidTr="00DE2D5E">
        <w:tc>
          <w:tcPr>
            <w:tcW w:w="5211" w:type="dxa"/>
          </w:tcPr>
          <w:p w:rsidR="00DE2D5E" w:rsidRPr="00D93DE5" w:rsidRDefault="00DE2D5E" w:rsidP="00702C7E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3828" w:type="dxa"/>
          </w:tcPr>
          <w:p w:rsidR="00DE2D5E" w:rsidRPr="00D93DE5" w:rsidRDefault="00DE2D5E" w:rsidP="00E309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73%</w:t>
            </w:r>
          </w:p>
        </w:tc>
      </w:tr>
      <w:tr w:rsidR="00DE2D5E" w:rsidRPr="00D93DE5" w:rsidTr="00DE2D5E">
        <w:tc>
          <w:tcPr>
            <w:tcW w:w="5211" w:type="dxa"/>
          </w:tcPr>
          <w:p w:rsidR="00DE2D5E" w:rsidRPr="00D93DE5" w:rsidRDefault="00DE2D5E" w:rsidP="00702C7E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3828" w:type="dxa"/>
          </w:tcPr>
          <w:p w:rsidR="00DE2D5E" w:rsidRDefault="00DE2D5E" w:rsidP="00E309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14%</w:t>
            </w:r>
          </w:p>
          <w:p w:rsidR="007E3C05" w:rsidRPr="00D93DE5" w:rsidRDefault="007E3C05" w:rsidP="00E309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42A7" w:rsidRDefault="005F42A7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2E80" w:rsidRDefault="00702C7E" w:rsidP="002736D7">
      <w:pPr>
        <w:keepNext/>
        <w:spacing w:after="0" w:line="240" w:lineRule="auto"/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2CCD5B86" wp14:editId="5D3CF13B">
            <wp:extent cx="5572125" cy="3028950"/>
            <wp:effectExtent l="0" t="0" r="9525" b="19050"/>
            <wp:docPr id="5" name="Диаграмма 5" descr="Результаты рассмотрения обращений граждан" title="Диаграмма №3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36D7" w:rsidRDefault="002736D7" w:rsidP="002736D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736D7" w:rsidRDefault="002736D7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61B1" w:rsidRDefault="003961B1" w:rsidP="00EB60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6013" w:rsidRPr="00E3097B" w:rsidRDefault="00EB6013" w:rsidP="00EB601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D62D42">
        <w:rPr>
          <w:rFonts w:ascii="PT Astra Serif" w:hAnsi="PT Astra Serif"/>
          <w:b/>
          <w:sz w:val="28"/>
          <w:szCs w:val="28"/>
        </w:rPr>
        <w:t xml:space="preserve">иаграмма  </w:t>
      </w:r>
      <w:r>
        <w:rPr>
          <w:rFonts w:ascii="PT Astra Serif" w:hAnsi="PT Astra Serif"/>
          <w:b/>
          <w:sz w:val="28"/>
          <w:szCs w:val="28"/>
        </w:rPr>
        <w:t>№</w:t>
      </w:r>
      <w:r w:rsidRPr="00D62D42">
        <w:rPr>
          <w:rFonts w:ascii="PT Astra Serif" w:hAnsi="PT Astra Serif"/>
          <w:b/>
          <w:sz w:val="28"/>
          <w:szCs w:val="28"/>
        </w:rPr>
        <w:t>3</w:t>
      </w:r>
    </w:p>
    <w:p w:rsidR="00EB6013" w:rsidRDefault="00EB6013" w:rsidP="00EB6013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62D42">
        <w:rPr>
          <w:rFonts w:ascii="PT Astra Serif" w:hAnsi="PT Astra Serif"/>
          <w:b/>
          <w:sz w:val="28"/>
          <w:szCs w:val="28"/>
        </w:rPr>
        <w:t>«</w:t>
      </w:r>
      <w:r w:rsidRPr="00D62D42">
        <w:rPr>
          <w:rFonts w:ascii="PT Astra Serif" w:hAnsi="PT Astra Serif" w:cs="Times New Roman"/>
          <w:b/>
          <w:sz w:val="28"/>
          <w:szCs w:val="28"/>
        </w:rPr>
        <w:t xml:space="preserve">Сравнительная диаграмма обращений по блокам вопросов </w:t>
      </w:r>
    </w:p>
    <w:p w:rsidR="00534AFD" w:rsidRDefault="00EB6013" w:rsidP="002736D7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62D42">
        <w:rPr>
          <w:rFonts w:ascii="PT Astra Serif" w:hAnsi="PT Astra Serif" w:cs="Times New Roman"/>
          <w:b/>
          <w:sz w:val="28"/>
          <w:szCs w:val="28"/>
        </w:rPr>
        <w:t>за 2</w:t>
      </w:r>
      <w:r w:rsidR="002736D7">
        <w:rPr>
          <w:rFonts w:ascii="PT Astra Serif" w:hAnsi="PT Astra Serif" w:cs="Times New Roman"/>
          <w:b/>
          <w:sz w:val="28"/>
          <w:szCs w:val="28"/>
        </w:rPr>
        <w:t>019 год»</w:t>
      </w:r>
    </w:p>
    <w:p w:rsidR="00534AFD" w:rsidRDefault="00534AFD" w:rsidP="002736D7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AF5332" w:rsidRPr="002736D7" w:rsidRDefault="00C33DAC" w:rsidP="002736D7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A93F1D" wp14:editId="33E71B4B">
            <wp:extent cx="6115050" cy="3390900"/>
            <wp:effectExtent l="0" t="0" r="19050" b="19050"/>
            <wp:docPr id="7" name="Диаграмма 7" title="Соотношение количества обращений по блокам вопросов в сравнении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6E88" w:rsidRPr="00386C46" w:rsidRDefault="00386C46" w:rsidP="00386C4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="00AF5332" w:rsidRPr="00386C46">
        <w:rPr>
          <w:rFonts w:ascii="PT Astra Serif" w:hAnsi="PT Astra Serif" w:cs="Times New Roman"/>
          <w:sz w:val="28"/>
          <w:szCs w:val="28"/>
        </w:rPr>
        <w:t>Руководством Министерства проведен</w:t>
      </w:r>
      <w:r w:rsidR="005B371E" w:rsidRPr="00386C46">
        <w:rPr>
          <w:rFonts w:ascii="PT Astra Serif" w:hAnsi="PT Astra Serif" w:cs="Times New Roman"/>
          <w:sz w:val="28"/>
          <w:szCs w:val="28"/>
        </w:rPr>
        <w:t>о</w:t>
      </w:r>
      <w:r w:rsidR="008A696B" w:rsidRPr="00386C46">
        <w:rPr>
          <w:rFonts w:ascii="PT Astra Serif" w:hAnsi="PT Astra Serif" w:cs="Times New Roman"/>
          <w:sz w:val="28"/>
          <w:szCs w:val="28"/>
        </w:rPr>
        <w:t xml:space="preserve"> </w:t>
      </w:r>
      <w:r w:rsidR="003C0AB3" w:rsidRPr="00386C46">
        <w:rPr>
          <w:rFonts w:ascii="PT Astra Serif" w:hAnsi="PT Astra Serif" w:cs="Times New Roman"/>
          <w:sz w:val="28"/>
          <w:szCs w:val="28"/>
        </w:rPr>
        <w:t xml:space="preserve"> </w:t>
      </w:r>
      <w:r w:rsidR="00DE2D5E" w:rsidRPr="00386C46">
        <w:rPr>
          <w:rFonts w:ascii="PT Astra Serif" w:hAnsi="PT Astra Serif" w:cs="Times New Roman"/>
          <w:sz w:val="28"/>
          <w:szCs w:val="28"/>
        </w:rPr>
        <w:t>27</w:t>
      </w:r>
      <w:r w:rsidR="003C0AB3" w:rsidRPr="00386C46">
        <w:rPr>
          <w:rFonts w:ascii="PT Astra Serif" w:hAnsi="PT Astra Serif" w:cs="Times New Roman"/>
          <w:sz w:val="28"/>
          <w:szCs w:val="28"/>
        </w:rPr>
        <w:t xml:space="preserve"> </w:t>
      </w:r>
      <w:r w:rsidR="008A696B" w:rsidRPr="00386C46">
        <w:rPr>
          <w:rFonts w:ascii="PT Astra Serif" w:hAnsi="PT Astra Serif" w:cs="Times New Roman"/>
          <w:sz w:val="28"/>
          <w:szCs w:val="28"/>
        </w:rPr>
        <w:t xml:space="preserve"> личны</w:t>
      </w:r>
      <w:r w:rsidR="005B371E" w:rsidRPr="00386C46">
        <w:rPr>
          <w:rFonts w:ascii="PT Astra Serif" w:hAnsi="PT Astra Serif" w:cs="Times New Roman"/>
          <w:sz w:val="28"/>
          <w:szCs w:val="28"/>
        </w:rPr>
        <w:t>х</w:t>
      </w:r>
      <w:r w:rsidR="008A696B" w:rsidRPr="00386C46">
        <w:rPr>
          <w:rFonts w:ascii="PT Astra Serif" w:hAnsi="PT Astra Serif" w:cs="Times New Roman"/>
          <w:sz w:val="28"/>
          <w:szCs w:val="28"/>
        </w:rPr>
        <w:t xml:space="preserve"> приём</w:t>
      </w:r>
      <w:r w:rsidR="005B371E" w:rsidRPr="00386C46">
        <w:rPr>
          <w:rFonts w:ascii="PT Astra Serif" w:hAnsi="PT Astra Serif" w:cs="Times New Roman"/>
          <w:sz w:val="28"/>
          <w:szCs w:val="28"/>
        </w:rPr>
        <w:t>ов</w:t>
      </w:r>
      <w:r w:rsidR="008A696B" w:rsidRPr="00386C46">
        <w:rPr>
          <w:rFonts w:ascii="PT Astra Serif" w:hAnsi="PT Astra Serif" w:cs="Times New Roman"/>
          <w:sz w:val="28"/>
          <w:szCs w:val="28"/>
        </w:rPr>
        <w:t xml:space="preserve"> граждан</w:t>
      </w:r>
      <w:r w:rsidR="003974E9">
        <w:rPr>
          <w:rFonts w:ascii="PT Astra Serif" w:hAnsi="PT Astra Serif" w:cs="Times New Roman"/>
          <w:sz w:val="28"/>
          <w:szCs w:val="28"/>
        </w:rPr>
        <w:t>,</w:t>
      </w:r>
      <w:r w:rsidR="005B371E" w:rsidRPr="00386C46">
        <w:rPr>
          <w:rFonts w:ascii="PT Astra Serif" w:hAnsi="PT Astra Serif" w:cs="Times New Roman"/>
          <w:sz w:val="28"/>
          <w:szCs w:val="28"/>
        </w:rPr>
        <w:t xml:space="preserve"> принято </w:t>
      </w:r>
      <w:r w:rsidR="00DE2D5E" w:rsidRPr="00386C46">
        <w:rPr>
          <w:rFonts w:ascii="PT Astra Serif" w:hAnsi="PT Astra Serif" w:cs="Times New Roman"/>
          <w:sz w:val="28"/>
          <w:szCs w:val="28"/>
        </w:rPr>
        <w:t>49</w:t>
      </w:r>
      <w:r w:rsidR="00EE1077" w:rsidRPr="00386C46">
        <w:rPr>
          <w:rFonts w:ascii="PT Astra Serif" w:hAnsi="PT Astra Serif" w:cs="Times New Roman"/>
          <w:sz w:val="28"/>
          <w:szCs w:val="28"/>
        </w:rPr>
        <w:t xml:space="preserve"> </w:t>
      </w:r>
      <w:r w:rsidR="005D6BF5" w:rsidRPr="00386C46">
        <w:rPr>
          <w:rFonts w:ascii="PT Astra Serif" w:hAnsi="PT Astra Serif" w:cs="Times New Roman"/>
          <w:sz w:val="28"/>
          <w:szCs w:val="28"/>
        </w:rPr>
        <w:t xml:space="preserve"> чел</w:t>
      </w:r>
      <w:r w:rsidR="00A138EA" w:rsidRPr="00386C46">
        <w:rPr>
          <w:rFonts w:ascii="PT Astra Serif" w:hAnsi="PT Astra Serif" w:cs="Times New Roman"/>
          <w:sz w:val="28"/>
          <w:szCs w:val="28"/>
        </w:rPr>
        <w:t>овек</w:t>
      </w:r>
      <w:r w:rsidR="005D6BF5" w:rsidRPr="00386C46">
        <w:rPr>
          <w:rFonts w:ascii="PT Astra Serif" w:hAnsi="PT Astra Serif" w:cs="Times New Roman"/>
          <w:sz w:val="28"/>
          <w:szCs w:val="28"/>
        </w:rPr>
        <w:t>.</w:t>
      </w:r>
    </w:p>
    <w:p w:rsidR="000B334B" w:rsidRPr="00386C46" w:rsidRDefault="000B334B" w:rsidP="00386C46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386C46">
        <w:rPr>
          <w:rFonts w:ascii="PT Astra Serif" w:hAnsi="PT Astra Serif" w:cs="Times New Roman"/>
          <w:sz w:val="28"/>
          <w:szCs w:val="28"/>
        </w:rPr>
        <w:t xml:space="preserve">Анализируя </w:t>
      </w:r>
      <w:r w:rsidR="003974E9">
        <w:rPr>
          <w:rFonts w:ascii="PT Astra Serif" w:hAnsi="PT Astra Serif" w:cs="Times New Roman"/>
          <w:sz w:val="28"/>
          <w:szCs w:val="28"/>
        </w:rPr>
        <w:t xml:space="preserve">организацию и проведение </w:t>
      </w:r>
      <w:r w:rsidRPr="00386C46">
        <w:rPr>
          <w:rFonts w:ascii="PT Astra Serif" w:hAnsi="PT Astra Serif" w:cs="Times New Roman"/>
          <w:sz w:val="28"/>
          <w:szCs w:val="28"/>
        </w:rPr>
        <w:t xml:space="preserve"> приемов граждан по личным вопросам  можно отметить, что большинство граждан, особенно старшего возраста считают, что их личные проблемы без вмешательства вышестоящих органов</w:t>
      </w:r>
      <w:r w:rsidR="003974E9">
        <w:rPr>
          <w:rFonts w:ascii="PT Astra Serif" w:hAnsi="PT Astra Serif" w:cs="Times New Roman"/>
          <w:sz w:val="28"/>
          <w:szCs w:val="28"/>
        </w:rPr>
        <w:t xml:space="preserve"> власти справедливо решены быть</w:t>
      </w:r>
      <w:r w:rsidRPr="00386C46">
        <w:rPr>
          <w:rFonts w:ascii="PT Astra Serif" w:hAnsi="PT Astra Serif" w:cs="Times New Roman"/>
          <w:sz w:val="28"/>
          <w:szCs w:val="28"/>
        </w:rPr>
        <w:t xml:space="preserve"> не могут. Это своего рода сложившееся мнение граждан пожилого возраста.</w:t>
      </w:r>
    </w:p>
    <w:p w:rsidR="00B53A54" w:rsidRPr="005F42A7" w:rsidRDefault="00B53A54" w:rsidP="005F42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48A5" w:rsidRPr="003049BD" w:rsidRDefault="00CA48A5" w:rsidP="00B53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893FAB" w:rsidRPr="003049BD" w:rsidRDefault="00893FAB" w:rsidP="00A03FA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C12F5" w:rsidRPr="003049BD" w:rsidRDefault="001F6E88" w:rsidP="001F6E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1F6E88" w:rsidRPr="003049BD" w:rsidRDefault="001F6E88" w:rsidP="001F6E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10280" w:type="dxa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560"/>
        <w:gridCol w:w="1456"/>
        <w:gridCol w:w="919"/>
      </w:tblGrid>
      <w:tr w:rsidR="000B4717" w:rsidRPr="003049BD" w:rsidTr="00C81563">
        <w:tc>
          <w:tcPr>
            <w:tcW w:w="3510" w:type="dxa"/>
          </w:tcPr>
          <w:p w:rsidR="000B4717" w:rsidRPr="003049BD" w:rsidRDefault="000B4717" w:rsidP="004830C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8" w:type="dxa"/>
          </w:tcPr>
          <w:p w:rsidR="000B4717" w:rsidRDefault="000B4717" w:rsidP="004830C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1 </w:t>
            </w:r>
          </w:p>
          <w:p w:rsidR="000B4717" w:rsidRPr="003049BD" w:rsidRDefault="000B4717" w:rsidP="004830C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квартал 2019 года</w:t>
            </w:r>
          </w:p>
        </w:tc>
        <w:tc>
          <w:tcPr>
            <w:tcW w:w="1417" w:type="dxa"/>
          </w:tcPr>
          <w:p w:rsidR="000B4717" w:rsidRDefault="000B4717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2 </w:t>
            </w:r>
          </w:p>
          <w:p w:rsidR="000B4717" w:rsidRPr="003049BD" w:rsidRDefault="000B4717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квартал 2019 года</w:t>
            </w:r>
          </w:p>
        </w:tc>
        <w:tc>
          <w:tcPr>
            <w:tcW w:w="1560" w:type="dxa"/>
          </w:tcPr>
          <w:p w:rsidR="00C81563" w:rsidRDefault="000B4717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3 </w:t>
            </w:r>
          </w:p>
          <w:p w:rsidR="000B4717" w:rsidRDefault="000B4717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квартал</w:t>
            </w:r>
          </w:p>
          <w:p w:rsidR="000B4717" w:rsidRPr="003049BD" w:rsidRDefault="000B4717" w:rsidP="00134DE3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2019года</w:t>
            </w:r>
          </w:p>
        </w:tc>
        <w:tc>
          <w:tcPr>
            <w:tcW w:w="1456" w:type="dxa"/>
          </w:tcPr>
          <w:p w:rsidR="000B4717" w:rsidRPr="00EA1E3F" w:rsidRDefault="000B4717" w:rsidP="00EA1E3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квартал 2019 года</w:t>
            </w:r>
          </w:p>
        </w:tc>
        <w:tc>
          <w:tcPr>
            <w:tcW w:w="919" w:type="dxa"/>
          </w:tcPr>
          <w:p w:rsidR="000B4717" w:rsidRPr="000B4717" w:rsidRDefault="000B4717" w:rsidP="00EA1E3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Всего за год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B471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0B4717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60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919" w:type="dxa"/>
          </w:tcPr>
          <w:p w:rsidR="0078684F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0B4717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798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4830C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Железнодорожный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19" w:type="dxa"/>
          </w:tcPr>
          <w:p w:rsidR="000B4717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Засвияжский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19" w:type="dxa"/>
          </w:tcPr>
          <w:p w:rsidR="000B4717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521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Заволжский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19" w:type="dxa"/>
          </w:tcPr>
          <w:p w:rsidR="000B4717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407</w:t>
            </w:r>
          </w:p>
        </w:tc>
      </w:tr>
      <w:tr w:rsidR="000B4717" w:rsidRPr="003049BD" w:rsidTr="00C81563">
        <w:trPr>
          <w:trHeight w:val="354"/>
        </w:trPr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Ленинский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19" w:type="dxa"/>
          </w:tcPr>
          <w:p w:rsidR="000B4717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412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Базарносызганский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0B4717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Барышский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9" w:type="dxa"/>
          </w:tcPr>
          <w:p w:rsidR="000B4717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Вешкаймский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0B4717" w:rsidRDefault="0078684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г</w:t>
            </w:r>
            <w:proofErr w:type="gram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.Д</w:t>
            </w:r>
            <w:proofErr w:type="gram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260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Инзенский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Карсунский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Кузоватовский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4830C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Майнский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Мелекесский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Николаевский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Новоспасский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0B4717" w:rsidRPr="003049BD" w:rsidTr="00C81563">
        <w:trPr>
          <w:trHeight w:val="70"/>
        </w:trPr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Новомалыклинский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г</w:t>
            </w:r>
            <w:proofErr w:type="gram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.Н</w:t>
            </w:r>
            <w:proofErr w:type="gram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Павловский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Радищевский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Сенгилеевский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Старомайнский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Сурский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Тереньгульский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Ульяновский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Цильнинский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Чердаклинский</w:t>
            </w:r>
            <w:proofErr w:type="spellEnd"/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0B4717" w:rsidRPr="003049BD" w:rsidTr="00C81563">
        <w:tc>
          <w:tcPr>
            <w:tcW w:w="3510" w:type="dxa"/>
            <w:shd w:val="clear" w:color="auto" w:fill="auto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Другие регионы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0B4717" w:rsidRPr="003049BD" w:rsidTr="00C81563">
        <w:tc>
          <w:tcPr>
            <w:tcW w:w="3510" w:type="dxa"/>
          </w:tcPr>
          <w:p w:rsidR="000B4717" w:rsidRPr="003049BD" w:rsidRDefault="000B4717" w:rsidP="00020EB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1366</w:t>
            </w:r>
          </w:p>
        </w:tc>
        <w:tc>
          <w:tcPr>
            <w:tcW w:w="1417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49BD">
              <w:rPr>
                <w:rFonts w:ascii="PT Astra Serif" w:hAnsi="PT Astra Serif" w:cs="Times New Roman"/>
                <w:b/>
                <w:sz w:val="28"/>
                <w:szCs w:val="28"/>
              </w:rPr>
              <w:t>793</w:t>
            </w:r>
          </w:p>
        </w:tc>
        <w:tc>
          <w:tcPr>
            <w:tcW w:w="1560" w:type="dxa"/>
          </w:tcPr>
          <w:p w:rsidR="000B4717" w:rsidRPr="003049BD" w:rsidRDefault="000B4717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958</w:t>
            </w:r>
          </w:p>
        </w:tc>
        <w:tc>
          <w:tcPr>
            <w:tcW w:w="1456" w:type="dxa"/>
          </w:tcPr>
          <w:p w:rsidR="000B4717" w:rsidRDefault="000B4717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881</w:t>
            </w:r>
          </w:p>
        </w:tc>
        <w:tc>
          <w:tcPr>
            <w:tcW w:w="919" w:type="dxa"/>
          </w:tcPr>
          <w:p w:rsidR="000B4717" w:rsidRDefault="0053357F" w:rsidP="001F6E8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3998</w:t>
            </w:r>
          </w:p>
        </w:tc>
      </w:tr>
    </w:tbl>
    <w:p w:rsidR="00316781" w:rsidRPr="003049BD" w:rsidRDefault="00316781" w:rsidP="00F874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05523" w:rsidRDefault="00ED1D79" w:rsidP="00534AF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362E1A6" wp14:editId="53775487">
            <wp:extent cx="5953125" cy="45053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4AFD" w:rsidRDefault="00534AFD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03FA1" w:rsidRDefault="002B52D7" w:rsidP="00534AF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 жители</w:t>
      </w:r>
      <w:r w:rsidR="005F42A7" w:rsidRPr="00896FBC">
        <w:rPr>
          <w:rFonts w:ascii="PT Astra Serif" w:hAnsi="PT Astra Serif" w:cs="Times New Roman"/>
          <w:sz w:val="28"/>
          <w:szCs w:val="28"/>
        </w:rPr>
        <w:t xml:space="preserve"> города Ульяновск</w:t>
      </w:r>
      <w:r w:rsidR="005F42A7">
        <w:rPr>
          <w:rFonts w:ascii="PT Astra Serif" w:hAnsi="PT Astra Serif" w:cs="Times New Roman"/>
          <w:sz w:val="28"/>
          <w:szCs w:val="28"/>
        </w:rPr>
        <w:t xml:space="preserve">а </w:t>
      </w:r>
      <w:r w:rsidR="008B68FC">
        <w:rPr>
          <w:rFonts w:ascii="PT Astra Serif" w:hAnsi="PT Astra Serif" w:cs="Times New Roman"/>
          <w:sz w:val="28"/>
          <w:szCs w:val="28"/>
        </w:rPr>
        <w:t xml:space="preserve"> </w:t>
      </w:r>
      <w:r w:rsidR="005F42A7">
        <w:rPr>
          <w:rFonts w:ascii="PT Astra Serif" w:hAnsi="PT Astra Serif" w:cs="Times New Roman"/>
          <w:sz w:val="28"/>
          <w:szCs w:val="28"/>
        </w:rPr>
        <w:t>(</w:t>
      </w:r>
      <w:proofErr w:type="spellStart"/>
      <w:r w:rsidR="005F42A7" w:rsidRPr="00896FBC">
        <w:rPr>
          <w:rFonts w:ascii="PT Astra Serif" w:hAnsi="PT Astra Serif" w:cs="Times New Roman"/>
          <w:sz w:val="28"/>
          <w:szCs w:val="28"/>
        </w:rPr>
        <w:t>Засвияжск</w:t>
      </w:r>
      <w:r w:rsidR="005F42A7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2736D7">
        <w:rPr>
          <w:rFonts w:ascii="PT Astra Serif" w:hAnsi="PT Astra Serif" w:cs="Times New Roman"/>
          <w:sz w:val="28"/>
          <w:szCs w:val="28"/>
        </w:rPr>
        <w:t xml:space="preserve">  район  – 521</w:t>
      </w:r>
      <w:r w:rsidR="00941000">
        <w:rPr>
          <w:rFonts w:ascii="PT Astra Serif" w:hAnsi="PT Astra Serif" w:cs="Times New Roman"/>
          <w:sz w:val="28"/>
          <w:szCs w:val="28"/>
        </w:rPr>
        <w:t xml:space="preserve"> </w:t>
      </w:r>
      <w:r w:rsidR="005F42A7" w:rsidRPr="00896FBC">
        <w:rPr>
          <w:rFonts w:ascii="PT Astra Serif" w:hAnsi="PT Astra Serif" w:cs="Times New Roman"/>
          <w:sz w:val="28"/>
          <w:szCs w:val="28"/>
        </w:rPr>
        <w:t>обращений,</w:t>
      </w:r>
      <w:r w:rsidR="008B68FC">
        <w:rPr>
          <w:rFonts w:ascii="PT Astra Serif" w:hAnsi="PT Astra Serif" w:cs="Times New Roman"/>
          <w:sz w:val="28"/>
          <w:szCs w:val="28"/>
        </w:rPr>
        <w:t xml:space="preserve"> </w:t>
      </w:r>
      <w:r w:rsidR="002736D7">
        <w:rPr>
          <w:rFonts w:ascii="PT Astra Serif" w:hAnsi="PT Astra Serif" w:cs="Times New Roman"/>
          <w:sz w:val="28"/>
          <w:szCs w:val="28"/>
        </w:rPr>
        <w:t>412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- </w:t>
      </w:r>
      <w:r w:rsidR="00E36105" w:rsidRPr="00896FBC">
        <w:rPr>
          <w:rFonts w:ascii="PT Astra Serif" w:hAnsi="PT Astra Serif" w:cs="Times New Roman"/>
          <w:sz w:val="28"/>
          <w:szCs w:val="28"/>
        </w:rPr>
        <w:t>от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жителей </w:t>
      </w:r>
      <w:r w:rsidR="00357998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Ленинского </w:t>
      </w:r>
      <w:r w:rsidR="00DB61E0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>района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, </w:t>
      </w:r>
      <w:r w:rsidR="002736D7">
        <w:rPr>
          <w:rFonts w:ascii="PT Astra Serif" w:hAnsi="PT Astra Serif" w:cs="Times New Roman"/>
          <w:sz w:val="28"/>
          <w:szCs w:val="28"/>
        </w:rPr>
        <w:t>407</w:t>
      </w:r>
      <w:r w:rsidR="004345D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896FBC" w:rsidRPr="00896FBC">
        <w:rPr>
          <w:rFonts w:ascii="PT Astra Serif" w:hAnsi="PT Astra Serif" w:cs="Times New Roman"/>
          <w:sz w:val="28"/>
          <w:szCs w:val="28"/>
        </w:rPr>
        <w:t>-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от жителей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 Заволжского района</w:t>
      </w:r>
      <w:r w:rsidR="00E0255C" w:rsidRPr="00896FBC">
        <w:rPr>
          <w:rFonts w:ascii="PT Astra Serif" w:hAnsi="PT Astra Serif" w:cs="Times New Roman"/>
          <w:sz w:val="28"/>
          <w:szCs w:val="28"/>
        </w:rPr>
        <w:t xml:space="preserve">  и  </w:t>
      </w:r>
      <w:r w:rsidR="002736D7">
        <w:rPr>
          <w:rFonts w:ascii="PT Astra Serif" w:hAnsi="PT Astra Serif" w:cs="Times New Roman"/>
          <w:sz w:val="28"/>
          <w:szCs w:val="28"/>
        </w:rPr>
        <w:t>220</w:t>
      </w:r>
      <w:r w:rsidR="00A36016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 xml:space="preserve">обращений поступило из Железнодорожного района города 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r w:rsidR="00E36105" w:rsidRPr="00896FBC">
        <w:rPr>
          <w:rFonts w:ascii="PT Astra Serif" w:hAnsi="PT Astra Serif" w:cs="Times New Roman"/>
          <w:sz w:val="28"/>
          <w:szCs w:val="28"/>
        </w:rPr>
        <w:t>Ульян</w:t>
      </w:r>
      <w:r w:rsidR="00396C80" w:rsidRPr="00896FBC">
        <w:rPr>
          <w:rFonts w:ascii="PT Astra Serif" w:hAnsi="PT Astra Serif" w:cs="Times New Roman"/>
          <w:sz w:val="28"/>
          <w:szCs w:val="28"/>
        </w:rPr>
        <w:t>овска</w:t>
      </w:r>
      <w:r w:rsidR="00941000">
        <w:rPr>
          <w:rFonts w:ascii="PT Astra Serif" w:hAnsi="PT Astra Serif" w:cs="Times New Roman"/>
          <w:sz w:val="28"/>
          <w:szCs w:val="28"/>
        </w:rPr>
        <w:t>)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. </w:t>
      </w:r>
      <w:r w:rsidR="00E36105" w:rsidRPr="00896FBC">
        <w:rPr>
          <w:rFonts w:ascii="PT Astra Serif" w:hAnsi="PT Astra Serif" w:cs="Times New Roman"/>
          <w:sz w:val="28"/>
          <w:szCs w:val="28"/>
        </w:rPr>
        <w:t>Всего от жите</w:t>
      </w:r>
      <w:r w:rsidR="004E2348" w:rsidRPr="00896FBC">
        <w:rPr>
          <w:rFonts w:ascii="PT Astra Serif" w:hAnsi="PT Astra Serif" w:cs="Times New Roman"/>
          <w:sz w:val="28"/>
          <w:szCs w:val="28"/>
        </w:rPr>
        <w:t xml:space="preserve">лей города Ульяновска </w:t>
      </w:r>
      <w:r>
        <w:rPr>
          <w:rFonts w:ascii="PT Astra Serif" w:hAnsi="PT Astra Serif" w:cs="Times New Roman"/>
          <w:sz w:val="28"/>
          <w:szCs w:val="28"/>
        </w:rPr>
        <w:t xml:space="preserve">за 2019 года поступило  </w:t>
      </w:r>
      <w:r w:rsidR="002736D7">
        <w:rPr>
          <w:rFonts w:ascii="PT Astra Serif" w:hAnsi="PT Astra Serif" w:cs="Times New Roman"/>
          <w:sz w:val="28"/>
          <w:szCs w:val="28"/>
        </w:rPr>
        <w:t xml:space="preserve">1560 </w:t>
      </w:r>
      <w:r w:rsidR="008B68FC">
        <w:rPr>
          <w:rFonts w:ascii="PT Astra Serif" w:hAnsi="PT Astra Serif" w:cs="Times New Roman"/>
          <w:sz w:val="28"/>
          <w:szCs w:val="28"/>
        </w:rPr>
        <w:t>обращени</w:t>
      </w:r>
      <w:r w:rsidR="002736D7">
        <w:rPr>
          <w:rFonts w:ascii="PT Astra Serif" w:hAnsi="PT Astra Serif" w:cs="Times New Roman"/>
          <w:sz w:val="28"/>
          <w:szCs w:val="28"/>
        </w:rPr>
        <w:t xml:space="preserve">й. </w:t>
      </w:r>
      <w:r w:rsidR="00941000">
        <w:rPr>
          <w:rFonts w:ascii="PT Astra Serif" w:hAnsi="PT Astra Serif" w:cs="Times New Roman"/>
          <w:sz w:val="28"/>
          <w:szCs w:val="28"/>
        </w:rPr>
        <w:t xml:space="preserve"> </w:t>
      </w:r>
    </w:p>
    <w:p w:rsidR="00936C21" w:rsidRPr="00896FBC" w:rsidRDefault="00936C21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130 обращений поступило от жителей других регионов.</w:t>
      </w:r>
    </w:p>
    <w:p w:rsidR="00396C80" w:rsidRPr="00896FBC" w:rsidRDefault="002736D7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798 </w:t>
      </w:r>
      <w:r w:rsidR="00396C80" w:rsidRPr="00896FBC">
        <w:rPr>
          <w:rFonts w:ascii="PT Astra Serif" w:hAnsi="PT Astra Serif" w:cs="Times New Roman"/>
          <w:sz w:val="28"/>
          <w:szCs w:val="28"/>
        </w:rPr>
        <w:t>обращени</w:t>
      </w:r>
      <w:r w:rsidR="002B52D7">
        <w:rPr>
          <w:rFonts w:ascii="PT Astra Serif" w:hAnsi="PT Astra Serif" w:cs="Times New Roman"/>
          <w:sz w:val="28"/>
          <w:szCs w:val="28"/>
        </w:rPr>
        <w:t>й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поступ</w:t>
      </w:r>
      <w:r w:rsidR="006368B6">
        <w:rPr>
          <w:rFonts w:ascii="PT Astra Serif" w:hAnsi="PT Astra Serif" w:cs="Times New Roman"/>
          <w:sz w:val="28"/>
          <w:szCs w:val="28"/>
        </w:rPr>
        <w:t xml:space="preserve">ило без указания точного адреса </w:t>
      </w:r>
      <w:proofErr w:type="gramStart"/>
      <w:r w:rsidR="006368B6">
        <w:rPr>
          <w:rFonts w:ascii="PT Astra Serif" w:hAnsi="PT Astra Serif" w:cs="Times New Roman"/>
          <w:sz w:val="28"/>
          <w:szCs w:val="28"/>
        </w:rPr>
        <w:t>(</w:t>
      </w:r>
      <w:r w:rsidR="00736C8E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  <w:r w:rsidR="006368B6">
        <w:rPr>
          <w:rFonts w:ascii="PT Astra Serif" w:hAnsi="PT Astra Serif" w:cs="Times New Roman"/>
          <w:sz w:val="28"/>
          <w:szCs w:val="28"/>
        </w:rPr>
        <w:t>без указания почтового адреса, с указанием адреса электронной почты)</w:t>
      </w:r>
    </w:p>
    <w:p w:rsidR="00350B8D" w:rsidRDefault="00396C80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Из г. Димитровграда 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поступило -</w:t>
      </w:r>
      <w:r w:rsidR="008B68FC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>260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 xml:space="preserve">обращений. Среди муниципальных образований больше всего обращений поступило из </w:t>
      </w:r>
      <w:proofErr w:type="spellStart"/>
      <w:r w:rsidR="00941000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941000">
        <w:rPr>
          <w:rFonts w:ascii="PT Astra Serif" w:hAnsi="PT Astra Serif" w:cs="Times New Roman"/>
          <w:sz w:val="28"/>
          <w:szCs w:val="28"/>
        </w:rPr>
        <w:t xml:space="preserve"> района-106 обращений,  </w:t>
      </w:r>
      <w:proofErr w:type="spellStart"/>
      <w:r w:rsidR="00941000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941000">
        <w:rPr>
          <w:rFonts w:ascii="PT Astra Serif" w:hAnsi="PT Astra Serif" w:cs="Times New Roman"/>
          <w:sz w:val="28"/>
          <w:szCs w:val="28"/>
        </w:rPr>
        <w:t xml:space="preserve">   района 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>101 обращение.</w:t>
      </w:r>
    </w:p>
    <w:p w:rsidR="00941000" w:rsidRDefault="00941000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Приблизительно одинаковое количество обращений поступило из </w:t>
      </w:r>
      <w:proofErr w:type="spellStart"/>
      <w:r>
        <w:rPr>
          <w:rFonts w:ascii="PT Astra Serif" w:hAnsi="PT Astra Serif" w:cs="Times New Roman"/>
          <w:sz w:val="28"/>
          <w:szCs w:val="28"/>
        </w:rPr>
        <w:t>Барышского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района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89, </w:t>
      </w:r>
      <w:proofErr w:type="spellStart"/>
      <w:r w:rsidR="00936C21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936C21">
        <w:rPr>
          <w:rFonts w:ascii="PT Astra Serif" w:hAnsi="PT Astra Serif" w:cs="Times New Roman"/>
          <w:sz w:val="28"/>
          <w:szCs w:val="28"/>
        </w:rPr>
        <w:t>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936C21">
        <w:rPr>
          <w:rFonts w:ascii="PT Astra Serif" w:hAnsi="PT Astra Serif" w:cs="Times New Roman"/>
          <w:sz w:val="28"/>
          <w:szCs w:val="28"/>
        </w:rPr>
        <w:t>94,Ульяновского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936C21">
        <w:rPr>
          <w:rFonts w:ascii="PT Astra Serif" w:hAnsi="PT Astra Serif" w:cs="Times New Roman"/>
          <w:sz w:val="28"/>
          <w:szCs w:val="28"/>
        </w:rPr>
        <w:t>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936C21">
        <w:rPr>
          <w:rFonts w:ascii="PT Astra Serif" w:hAnsi="PT Astra Serif" w:cs="Times New Roman"/>
          <w:sz w:val="28"/>
          <w:szCs w:val="28"/>
        </w:rPr>
        <w:t>81,Кузоватовского – 72.</w:t>
      </w:r>
    </w:p>
    <w:p w:rsidR="00936C21" w:rsidRDefault="00936C21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Самая низкая активность граждан в 2019 году отмечается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В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Радищевском районе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31 обращение,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Базарносызганском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30,Павловском 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33 обращения.</w:t>
      </w:r>
    </w:p>
    <w:p w:rsidR="00936C21" w:rsidRDefault="00936C21" w:rsidP="00936C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 начала года наблюдается </w:t>
      </w:r>
      <w:proofErr w:type="gramStart"/>
      <w:r>
        <w:rPr>
          <w:rFonts w:ascii="PT Astra Serif" w:hAnsi="PT Astra Serif" w:cs="Times New Roman"/>
          <w:sz w:val="28"/>
          <w:szCs w:val="28"/>
        </w:rPr>
        <w:t>положительная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 динамики </w:t>
      </w:r>
      <w:r w:rsidR="00534AFD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количество  обращений снижается с каждым периодом и интервал снижения составил -  43%.</w:t>
      </w:r>
    </w:p>
    <w:p w:rsidR="00941000" w:rsidRPr="00896FBC" w:rsidRDefault="00941000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36C21" w:rsidRDefault="003820E3" w:rsidP="00F009B7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F009B7">
        <w:rPr>
          <w:rFonts w:ascii="PT Astra Serif" w:hAnsi="PT Astra Serif"/>
          <w:sz w:val="28"/>
          <w:szCs w:val="28"/>
        </w:rPr>
        <w:t xml:space="preserve">Обращения граждан поступают посредством сети Интернет, почтовой связью и </w:t>
      </w:r>
      <w:r w:rsidR="00F762DA">
        <w:rPr>
          <w:rFonts w:ascii="PT Astra Serif" w:hAnsi="PT Astra Serif"/>
          <w:sz w:val="28"/>
          <w:szCs w:val="28"/>
        </w:rPr>
        <w:t xml:space="preserve"> </w:t>
      </w:r>
      <w:r w:rsidR="00F009B7">
        <w:rPr>
          <w:rFonts w:ascii="PT Astra Serif" w:hAnsi="PT Astra Serif"/>
          <w:sz w:val="28"/>
          <w:szCs w:val="28"/>
        </w:rPr>
        <w:t xml:space="preserve">при личном обращении. </w:t>
      </w:r>
      <w:r w:rsidR="00534AFD">
        <w:rPr>
          <w:rFonts w:ascii="PT Astra Serif" w:hAnsi="PT Astra Serif" w:cs="Times New Roman"/>
          <w:sz w:val="28"/>
          <w:szCs w:val="28"/>
        </w:rPr>
        <w:t>Каждое</w:t>
      </w:r>
      <w:r w:rsidR="00FE7464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34AFD">
        <w:rPr>
          <w:rFonts w:ascii="PT Astra Serif" w:hAnsi="PT Astra Serif" w:cs="Times New Roman"/>
          <w:sz w:val="28"/>
          <w:szCs w:val="28"/>
        </w:rPr>
        <w:t>е</w:t>
      </w:r>
      <w:r w:rsidR="00FE7464">
        <w:rPr>
          <w:rFonts w:ascii="PT Astra Serif" w:hAnsi="PT Astra Serif" w:cs="Times New Roman"/>
          <w:sz w:val="28"/>
          <w:szCs w:val="28"/>
        </w:rPr>
        <w:t xml:space="preserve">, поступившие в Министерство, </w:t>
      </w:r>
      <w:r w:rsidR="00FE7464">
        <w:rPr>
          <w:rFonts w:ascii="PT Astra Serif" w:hAnsi="PT Astra Serif" w:cs="Times New Roman"/>
          <w:sz w:val="28"/>
          <w:szCs w:val="28"/>
        </w:rPr>
        <w:lastRenderedPageBreak/>
        <w:t>рассмотрен</w:t>
      </w:r>
      <w:r w:rsidR="00534AFD">
        <w:rPr>
          <w:rFonts w:ascii="PT Astra Serif" w:hAnsi="PT Astra Serif" w:cs="Times New Roman"/>
          <w:sz w:val="28"/>
          <w:szCs w:val="28"/>
        </w:rPr>
        <w:t>о</w:t>
      </w:r>
      <w:r w:rsidR="00FE7464">
        <w:rPr>
          <w:rFonts w:ascii="PT Astra Serif" w:hAnsi="PT Astra Serif" w:cs="Times New Roman"/>
          <w:sz w:val="28"/>
          <w:szCs w:val="28"/>
        </w:rPr>
        <w:t xml:space="preserve"> руководством Министерства</w:t>
      </w:r>
      <w:r w:rsidR="00F009B7">
        <w:rPr>
          <w:rFonts w:ascii="PT Astra Serif" w:hAnsi="PT Astra Serif" w:cs="Times New Roman"/>
          <w:sz w:val="28"/>
          <w:szCs w:val="28"/>
        </w:rPr>
        <w:t>, по каждому обращению (жалобе) подготовлены и направлены ответы в установленный законом срок.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</w:p>
    <w:p w:rsidR="00291041" w:rsidRPr="00291041" w:rsidRDefault="00291041" w:rsidP="00F009B7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291041">
        <w:rPr>
          <w:rFonts w:ascii="PT Astra Serif" w:hAnsi="PT Astra Serif" w:cs="Times New Roman"/>
          <w:b/>
          <w:sz w:val="28"/>
          <w:szCs w:val="28"/>
        </w:rPr>
        <w:t>Задача на 2020 год продолжить работу по рассмотрению обращений граждан в соответствии с требованиями действующего законодательства, с соблюдением сроков, а главное работать над улучшением качества ответов</w:t>
      </w:r>
      <w:r w:rsidR="007E3C05">
        <w:rPr>
          <w:rFonts w:ascii="PT Astra Serif" w:hAnsi="PT Astra Serif" w:cs="Times New Roman"/>
          <w:b/>
          <w:sz w:val="28"/>
          <w:szCs w:val="28"/>
        </w:rPr>
        <w:t xml:space="preserve"> и повышением результатов рассмотрения</w:t>
      </w:r>
      <w:r w:rsidRPr="00291041">
        <w:rPr>
          <w:rFonts w:ascii="PT Astra Serif" w:hAnsi="PT Astra Serif" w:cs="Times New Roman"/>
          <w:b/>
          <w:sz w:val="28"/>
          <w:szCs w:val="28"/>
        </w:rPr>
        <w:t>.</w:t>
      </w:r>
    </w:p>
    <w:p w:rsidR="00FE7464" w:rsidRPr="00936C21" w:rsidRDefault="00936C21" w:rsidP="00F009B7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312B19" w:rsidRPr="003049BD" w:rsidRDefault="00312B19" w:rsidP="00312B1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96C80" w:rsidRPr="003049BD" w:rsidRDefault="00396C80" w:rsidP="004345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96C80" w:rsidRPr="00490FF8" w:rsidRDefault="00396C80" w:rsidP="0043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D0" w:rsidRDefault="006341D0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Default="00E93352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Pr="003942C2" w:rsidRDefault="00E93352" w:rsidP="00893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3352" w:rsidRPr="003942C2" w:rsidSect="00534AFD">
      <w:headerReference w:type="default" r:id="rId14"/>
      <w:pgSz w:w="11906" w:h="16838"/>
      <w:pgMar w:top="426" w:right="707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CF" w:rsidRDefault="00995DCF" w:rsidP="00AC5C29">
      <w:pPr>
        <w:spacing w:after="0" w:line="240" w:lineRule="auto"/>
      </w:pPr>
      <w:r>
        <w:separator/>
      </w:r>
    </w:p>
  </w:endnote>
  <w:endnote w:type="continuationSeparator" w:id="0">
    <w:p w:rsidR="00995DCF" w:rsidRDefault="00995DCF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CF" w:rsidRDefault="00995DCF" w:rsidP="00AC5C29">
      <w:pPr>
        <w:spacing w:after="0" w:line="240" w:lineRule="auto"/>
      </w:pPr>
      <w:r>
        <w:separator/>
      </w:r>
    </w:p>
  </w:footnote>
  <w:footnote w:type="continuationSeparator" w:id="0">
    <w:p w:rsidR="00995DCF" w:rsidRDefault="00995DCF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19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0B8" w:rsidRDefault="00E050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C0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2E80" w:rsidRDefault="00B02E80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B02E80" w:rsidRPr="00E050B8" w:rsidRDefault="00B02E80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629"/>
    <w:multiLevelType w:val="hybridMultilevel"/>
    <w:tmpl w:val="39E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B10"/>
    <w:multiLevelType w:val="hybridMultilevel"/>
    <w:tmpl w:val="16A8AD60"/>
    <w:lvl w:ilvl="0" w:tplc="50705B3A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73F03"/>
    <w:multiLevelType w:val="hybridMultilevel"/>
    <w:tmpl w:val="1F22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3559"/>
    <w:multiLevelType w:val="hybridMultilevel"/>
    <w:tmpl w:val="9DD22E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04E01"/>
    <w:rsid w:val="000114E8"/>
    <w:rsid w:val="00012B31"/>
    <w:rsid w:val="00013195"/>
    <w:rsid w:val="00016F65"/>
    <w:rsid w:val="00020EB2"/>
    <w:rsid w:val="00023BBC"/>
    <w:rsid w:val="00023E74"/>
    <w:rsid w:val="00024304"/>
    <w:rsid w:val="00025C1D"/>
    <w:rsid w:val="00026225"/>
    <w:rsid w:val="0002767B"/>
    <w:rsid w:val="00027692"/>
    <w:rsid w:val="0003052D"/>
    <w:rsid w:val="0003546F"/>
    <w:rsid w:val="00035944"/>
    <w:rsid w:val="00036235"/>
    <w:rsid w:val="0003715B"/>
    <w:rsid w:val="000466BC"/>
    <w:rsid w:val="00047C8E"/>
    <w:rsid w:val="00052A48"/>
    <w:rsid w:val="00053967"/>
    <w:rsid w:val="00054A39"/>
    <w:rsid w:val="00056B63"/>
    <w:rsid w:val="00062653"/>
    <w:rsid w:val="000665AF"/>
    <w:rsid w:val="00067201"/>
    <w:rsid w:val="00067322"/>
    <w:rsid w:val="00067C92"/>
    <w:rsid w:val="00071BDE"/>
    <w:rsid w:val="0008292F"/>
    <w:rsid w:val="00084C24"/>
    <w:rsid w:val="00085DAD"/>
    <w:rsid w:val="00086321"/>
    <w:rsid w:val="00093120"/>
    <w:rsid w:val="000A136C"/>
    <w:rsid w:val="000A18B1"/>
    <w:rsid w:val="000B13A2"/>
    <w:rsid w:val="000B334B"/>
    <w:rsid w:val="000B4675"/>
    <w:rsid w:val="000B4717"/>
    <w:rsid w:val="000B5330"/>
    <w:rsid w:val="000C2250"/>
    <w:rsid w:val="000C36A9"/>
    <w:rsid w:val="000C4D8C"/>
    <w:rsid w:val="000C65C1"/>
    <w:rsid w:val="000D05D4"/>
    <w:rsid w:val="000D1BB9"/>
    <w:rsid w:val="000D7476"/>
    <w:rsid w:val="000D780C"/>
    <w:rsid w:val="000E0300"/>
    <w:rsid w:val="000E062B"/>
    <w:rsid w:val="000E4CF6"/>
    <w:rsid w:val="000F3487"/>
    <w:rsid w:val="000F3535"/>
    <w:rsid w:val="000F5FC1"/>
    <w:rsid w:val="001004D4"/>
    <w:rsid w:val="00110FD4"/>
    <w:rsid w:val="00113603"/>
    <w:rsid w:val="0011493C"/>
    <w:rsid w:val="00114C50"/>
    <w:rsid w:val="00115946"/>
    <w:rsid w:val="00117255"/>
    <w:rsid w:val="001178DE"/>
    <w:rsid w:val="0012332B"/>
    <w:rsid w:val="00123426"/>
    <w:rsid w:val="00124028"/>
    <w:rsid w:val="00126B2A"/>
    <w:rsid w:val="001270D0"/>
    <w:rsid w:val="00133B3B"/>
    <w:rsid w:val="001407F3"/>
    <w:rsid w:val="00145982"/>
    <w:rsid w:val="00146DB1"/>
    <w:rsid w:val="00147A38"/>
    <w:rsid w:val="001513D0"/>
    <w:rsid w:val="00152926"/>
    <w:rsid w:val="00154C8F"/>
    <w:rsid w:val="00157351"/>
    <w:rsid w:val="00161321"/>
    <w:rsid w:val="00163C6D"/>
    <w:rsid w:val="00165A9F"/>
    <w:rsid w:val="00170487"/>
    <w:rsid w:val="00176C28"/>
    <w:rsid w:val="00181673"/>
    <w:rsid w:val="00183DB1"/>
    <w:rsid w:val="001853C8"/>
    <w:rsid w:val="00186ACA"/>
    <w:rsid w:val="00191D45"/>
    <w:rsid w:val="001939D5"/>
    <w:rsid w:val="00193A7E"/>
    <w:rsid w:val="001962F0"/>
    <w:rsid w:val="00196C92"/>
    <w:rsid w:val="00197EEB"/>
    <w:rsid w:val="001A011F"/>
    <w:rsid w:val="001A5220"/>
    <w:rsid w:val="001A7D36"/>
    <w:rsid w:val="001B0B61"/>
    <w:rsid w:val="001B1E00"/>
    <w:rsid w:val="001C45FA"/>
    <w:rsid w:val="001C4EE5"/>
    <w:rsid w:val="001C5924"/>
    <w:rsid w:val="001C7239"/>
    <w:rsid w:val="001D02C1"/>
    <w:rsid w:val="001D2A56"/>
    <w:rsid w:val="001D461B"/>
    <w:rsid w:val="001D68B2"/>
    <w:rsid w:val="001D69B3"/>
    <w:rsid w:val="001E0636"/>
    <w:rsid w:val="001E6841"/>
    <w:rsid w:val="001E6C24"/>
    <w:rsid w:val="001E735E"/>
    <w:rsid w:val="001F1B7C"/>
    <w:rsid w:val="001F6E88"/>
    <w:rsid w:val="00205523"/>
    <w:rsid w:val="0020752D"/>
    <w:rsid w:val="00211A32"/>
    <w:rsid w:val="00213D03"/>
    <w:rsid w:val="00215326"/>
    <w:rsid w:val="00215372"/>
    <w:rsid w:val="002153BE"/>
    <w:rsid w:val="00220C24"/>
    <w:rsid w:val="002230F5"/>
    <w:rsid w:val="00232C03"/>
    <w:rsid w:val="00233D9F"/>
    <w:rsid w:val="00235DFE"/>
    <w:rsid w:val="002367D9"/>
    <w:rsid w:val="00240CD7"/>
    <w:rsid w:val="002418BC"/>
    <w:rsid w:val="00243C83"/>
    <w:rsid w:val="00244600"/>
    <w:rsid w:val="0024604B"/>
    <w:rsid w:val="00257D2F"/>
    <w:rsid w:val="00260915"/>
    <w:rsid w:val="002656F3"/>
    <w:rsid w:val="002672D7"/>
    <w:rsid w:val="00267C2A"/>
    <w:rsid w:val="002736D7"/>
    <w:rsid w:val="002750F1"/>
    <w:rsid w:val="002819CC"/>
    <w:rsid w:val="00291041"/>
    <w:rsid w:val="00291072"/>
    <w:rsid w:val="002916C1"/>
    <w:rsid w:val="00292A07"/>
    <w:rsid w:val="002B2DD4"/>
    <w:rsid w:val="002B52D7"/>
    <w:rsid w:val="002B5E07"/>
    <w:rsid w:val="002B689B"/>
    <w:rsid w:val="002C12F5"/>
    <w:rsid w:val="002C7598"/>
    <w:rsid w:val="002D1016"/>
    <w:rsid w:val="002D19C5"/>
    <w:rsid w:val="002D66C1"/>
    <w:rsid w:val="002D6B5F"/>
    <w:rsid w:val="002D7F13"/>
    <w:rsid w:val="002E1763"/>
    <w:rsid w:val="002E1A46"/>
    <w:rsid w:val="002E22B9"/>
    <w:rsid w:val="002E584E"/>
    <w:rsid w:val="002F0CE7"/>
    <w:rsid w:val="002F0D82"/>
    <w:rsid w:val="002F4758"/>
    <w:rsid w:val="002F6225"/>
    <w:rsid w:val="00301B12"/>
    <w:rsid w:val="0030255D"/>
    <w:rsid w:val="003044C9"/>
    <w:rsid w:val="003049BD"/>
    <w:rsid w:val="003070F4"/>
    <w:rsid w:val="0030753C"/>
    <w:rsid w:val="00312B19"/>
    <w:rsid w:val="00313467"/>
    <w:rsid w:val="003149F8"/>
    <w:rsid w:val="00316781"/>
    <w:rsid w:val="00317A24"/>
    <w:rsid w:val="0032050B"/>
    <w:rsid w:val="00323B7C"/>
    <w:rsid w:val="00332BC2"/>
    <w:rsid w:val="00333544"/>
    <w:rsid w:val="0033364A"/>
    <w:rsid w:val="00334E59"/>
    <w:rsid w:val="00336356"/>
    <w:rsid w:val="00337F24"/>
    <w:rsid w:val="00343EDA"/>
    <w:rsid w:val="00344B8E"/>
    <w:rsid w:val="003469C5"/>
    <w:rsid w:val="00350B8D"/>
    <w:rsid w:val="0035348A"/>
    <w:rsid w:val="00356AAA"/>
    <w:rsid w:val="00357998"/>
    <w:rsid w:val="00360BFC"/>
    <w:rsid w:val="003674B5"/>
    <w:rsid w:val="003707D3"/>
    <w:rsid w:val="003723E1"/>
    <w:rsid w:val="00377A7C"/>
    <w:rsid w:val="00377BAE"/>
    <w:rsid w:val="003820E3"/>
    <w:rsid w:val="00386C46"/>
    <w:rsid w:val="00386D42"/>
    <w:rsid w:val="003908CC"/>
    <w:rsid w:val="00390B20"/>
    <w:rsid w:val="0039130D"/>
    <w:rsid w:val="00391600"/>
    <w:rsid w:val="00391ED9"/>
    <w:rsid w:val="00394221"/>
    <w:rsid w:val="00394AC6"/>
    <w:rsid w:val="003961B1"/>
    <w:rsid w:val="003963F3"/>
    <w:rsid w:val="0039641B"/>
    <w:rsid w:val="00396C80"/>
    <w:rsid w:val="003974E9"/>
    <w:rsid w:val="003A1F92"/>
    <w:rsid w:val="003B361D"/>
    <w:rsid w:val="003C0606"/>
    <w:rsid w:val="003C0AB3"/>
    <w:rsid w:val="003C3A8F"/>
    <w:rsid w:val="003C55FC"/>
    <w:rsid w:val="003D09EB"/>
    <w:rsid w:val="003D0C60"/>
    <w:rsid w:val="003D115D"/>
    <w:rsid w:val="003D26DB"/>
    <w:rsid w:val="003D7072"/>
    <w:rsid w:val="003D7699"/>
    <w:rsid w:val="003E0431"/>
    <w:rsid w:val="003E1C97"/>
    <w:rsid w:val="003E2121"/>
    <w:rsid w:val="003E2805"/>
    <w:rsid w:val="003F0DDC"/>
    <w:rsid w:val="003F7773"/>
    <w:rsid w:val="0040173A"/>
    <w:rsid w:val="00412B76"/>
    <w:rsid w:val="00413F13"/>
    <w:rsid w:val="00420A65"/>
    <w:rsid w:val="004235F2"/>
    <w:rsid w:val="00424DAB"/>
    <w:rsid w:val="004261E4"/>
    <w:rsid w:val="00431D17"/>
    <w:rsid w:val="004345D5"/>
    <w:rsid w:val="00434A48"/>
    <w:rsid w:val="00436D04"/>
    <w:rsid w:val="00436E96"/>
    <w:rsid w:val="004372BA"/>
    <w:rsid w:val="00440881"/>
    <w:rsid w:val="004411A7"/>
    <w:rsid w:val="0044317E"/>
    <w:rsid w:val="0045269B"/>
    <w:rsid w:val="00457A59"/>
    <w:rsid w:val="004617ED"/>
    <w:rsid w:val="0046374C"/>
    <w:rsid w:val="004665D5"/>
    <w:rsid w:val="00471164"/>
    <w:rsid w:val="004737DD"/>
    <w:rsid w:val="00476B7F"/>
    <w:rsid w:val="00480FA2"/>
    <w:rsid w:val="004830CD"/>
    <w:rsid w:val="004864E3"/>
    <w:rsid w:val="00486660"/>
    <w:rsid w:val="00490FF8"/>
    <w:rsid w:val="0049129A"/>
    <w:rsid w:val="00493797"/>
    <w:rsid w:val="004A5759"/>
    <w:rsid w:val="004B5281"/>
    <w:rsid w:val="004C03D1"/>
    <w:rsid w:val="004C448C"/>
    <w:rsid w:val="004D430E"/>
    <w:rsid w:val="004D4B8D"/>
    <w:rsid w:val="004D7574"/>
    <w:rsid w:val="004E2348"/>
    <w:rsid w:val="004E2946"/>
    <w:rsid w:val="004E37ED"/>
    <w:rsid w:val="004E3CAB"/>
    <w:rsid w:val="004E67E8"/>
    <w:rsid w:val="004E6D40"/>
    <w:rsid w:val="004F00FA"/>
    <w:rsid w:val="004F2791"/>
    <w:rsid w:val="004F5850"/>
    <w:rsid w:val="00502CB2"/>
    <w:rsid w:val="005036D4"/>
    <w:rsid w:val="00505D6C"/>
    <w:rsid w:val="00522767"/>
    <w:rsid w:val="0052279B"/>
    <w:rsid w:val="00524083"/>
    <w:rsid w:val="0053285F"/>
    <w:rsid w:val="0053357F"/>
    <w:rsid w:val="00534AFD"/>
    <w:rsid w:val="0054004D"/>
    <w:rsid w:val="00543A6E"/>
    <w:rsid w:val="00545188"/>
    <w:rsid w:val="00550012"/>
    <w:rsid w:val="0055535E"/>
    <w:rsid w:val="00555C0D"/>
    <w:rsid w:val="00560DCC"/>
    <w:rsid w:val="00564E4B"/>
    <w:rsid w:val="00575341"/>
    <w:rsid w:val="005821B2"/>
    <w:rsid w:val="00594249"/>
    <w:rsid w:val="005954F1"/>
    <w:rsid w:val="005B371E"/>
    <w:rsid w:val="005B3C3F"/>
    <w:rsid w:val="005B6F5B"/>
    <w:rsid w:val="005B72A0"/>
    <w:rsid w:val="005C0093"/>
    <w:rsid w:val="005C48CD"/>
    <w:rsid w:val="005D55C8"/>
    <w:rsid w:val="005D6BF5"/>
    <w:rsid w:val="005D76BD"/>
    <w:rsid w:val="005E07DF"/>
    <w:rsid w:val="005E2095"/>
    <w:rsid w:val="005F42A7"/>
    <w:rsid w:val="005F4E51"/>
    <w:rsid w:val="00602B65"/>
    <w:rsid w:val="00604CC3"/>
    <w:rsid w:val="00612EB5"/>
    <w:rsid w:val="006154AC"/>
    <w:rsid w:val="006171A2"/>
    <w:rsid w:val="00620E56"/>
    <w:rsid w:val="00621F9B"/>
    <w:rsid w:val="00622279"/>
    <w:rsid w:val="00622659"/>
    <w:rsid w:val="00625247"/>
    <w:rsid w:val="006341D0"/>
    <w:rsid w:val="006358D6"/>
    <w:rsid w:val="00635BC4"/>
    <w:rsid w:val="006368B6"/>
    <w:rsid w:val="00637B32"/>
    <w:rsid w:val="00637D80"/>
    <w:rsid w:val="00640426"/>
    <w:rsid w:val="00641705"/>
    <w:rsid w:val="00641A15"/>
    <w:rsid w:val="006474EC"/>
    <w:rsid w:val="00651FB2"/>
    <w:rsid w:val="00660601"/>
    <w:rsid w:val="00663F6A"/>
    <w:rsid w:val="00666B17"/>
    <w:rsid w:val="00673180"/>
    <w:rsid w:val="00676CC1"/>
    <w:rsid w:val="006825AF"/>
    <w:rsid w:val="006916E9"/>
    <w:rsid w:val="00693048"/>
    <w:rsid w:val="00694338"/>
    <w:rsid w:val="00694D04"/>
    <w:rsid w:val="006A2C93"/>
    <w:rsid w:val="006A3E1D"/>
    <w:rsid w:val="006A458F"/>
    <w:rsid w:val="006B3E57"/>
    <w:rsid w:val="006B5C8E"/>
    <w:rsid w:val="006B7A58"/>
    <w:rsid w:val="006C06D8"/>
    <w:rsid w:val="006C08A0"/>
    <w:rsid w:val="006C1250"/>
    <w:rsid w:val="006C2C82"/>
    <w:rsid w:val="006C5FAE"/>
    <w:rsid w:val="006C611F"/>
    <w:rsid w:val="006C6D6A"/>
    <w:rsid w:val="006D1E12"/>
    <w:rsid w:val="006E119D"/>
    <w:rsid w:val="006E3702"/>
    <w:rsid w:val="006E5BAB"/>
    <w:rsid w:val="006E67CA"/>
    <w:rsid w:val="006E78A3"/>
    <w:rsid w:val="006E7F97"/>
    <w:rsid w:val="006F43D2"/>
    <w:rsid w:val="006F5132"/>
    <w:rsid w:val="006F5590"/>
    <w:rsid w:val="006F59A3"/>
    <w:rsid w:val="006F7979"/>
    <w:rsid w:val="00702C7E"/>
    <w:rsid w:val="00704473"/>
    <w:rsid w:val="007046F2"/>
    <w:rsid w:val="00704FB8"/>
    <w:rsid w:val="0070562E"/>
    <w:rsid w:val="0071545C"/>
    <w:rsid w:val="007208A7"/>
    <w:rsid w:val="00721A18"/>
    <w:rsid w:val="00726422"/>
    <w:rsid w:val="00731327"/>
    <w:rsid w:val="00736C8E"/>
    <w:rsid w:val="00751360"/>
    <w:rsid w:val="007616C5"/>
    <w:rsid w:val="00762244"/>
    <w:rsid w:val="007664C6"/>
    <w:rsid w:val="00766C04"/>
    <w:rsid w:val="007704B1"/>
    <w:rsid w:val="00771758"/>
    <w:rsid w:val="00772055"/>
    <w:rsid w:val="00775AA1"/>
    <w:rsid w:val="0078052E"/>
    <w:rsid w:val="00784505"/>
    <w:rsid w:val="0078684F"/>
    <w:rsid w:val="007943DB"/>
    <w:rsid w:val="00797BEB"/>
    <w:rsid w:val="007B4202"/>
    <w:rsid w:val="007C2B28"/>
    <w:rsid w:val="007C7DB5"/>
    <w:rsid w:val="007D0DAD"/>
    <w:rsid w:val="007D69D6"/>
    <w:rsid w:val="007D70A2"/>
    <w:rsid w:val="007E0415"/>
    <w:rsid w:val="007E1C03"/>
    <w:rsid w:val="007E3C05"/>
    <w:rsid w:val="007E592D"/>
    <w:rsid w:val="007E79A8"/>
    <w:rsid w:val="007F43FA"/>
    <w:rsid w:val="007F4733"/>
    <w:rsid w:val="007F5E35"/>
    <w:rsid w:val="007F6148"/>
    <w:rsid w:val="007F7593"/>
    <w:rsid w:val="008002F5"/>
    <w:rsid w:val="008006CD"/>
    <w:rsid w:val="00800782"/>
    <w:rsid w:val="00800937"/>
    <w:rsid w:val="00804761"/>
    <w:rsid w:val="00804A91"/>
    <w:rsid w:val="008079B8"/>
    <w:rsid w:val="00811CD6"/>
    <w:rsid w:val="0081376D"/>
    <w:rsid w:val="00815994"/>
    <w:rsid w:val="00820544"/>
    <w:rsid w:val="00820927"/>
    <w:rsid w:val="008222BA"/>
    <w:rsid w:val="00834A24"/>
    <w:rsid w:val="0083514E"/>
    <w:rsid w:val="008411D9"/>
    <w:rsid w:val="00843082"/>
    <w:rsid w:val="00846F8B"/>
    <w:rsid w:val="00852067"/>
    <w:rsid w:val="00852BA8"/>
    <w:rsid w:val="008635AF"/>
    <w:rsid w:val="00864807"/>
    <w:rsid w:val="008671A9"/>
    <w:rsid w:val="00874E4B"/>
    <w:rsid w:val="008759A1"/>
    <w:rsid w:val="008808F2"/>
    <w:rsid w:val="008811AD"/>
    <w:rsid w:val="00884C61"/>
    <w:rsid w:val="00885328"/>
    <w:rsid w:val="0088683C"/>
    <w:rsid w:val="00893FAB"/>
    <w:rsid w:val="008961F5"/>
    <w:rsid w:val="00896FBC"/>
    <w:rsid w:val="008A205B"/>
    <w:rsid w:val="008A57E4"/>
    <w:rsid w:val="008A5E6D"/>
    <w:rsid w:val="008A696B"/>
    <w:rsid w:val="008A6B2D"/>
    <w:rsid w:val="008A7E74"/>
    <w:rsid w:val="008B293B"/>
    <w:rsid w:val="008B4561"/>
    <w:rsid w:val="008B6559"/>
    <w:rsid w:val="008B68FC"/>
    <w:rsid w:val="008B7A45"/>
    <w:rsid w:val="008C2CD2"/>
    <w:rsid w:val="008C3643"/>
    <w:rsid w:val="008C4915"/>
    <w:rsid w:val="008C7F03"/>
    <w:rsid w:val="008D2850"/>
    <w:rsid w:val="008D3E09"/>
    <w:rsid w:val="008D5DD1"/>
    <w:rsid w:val="008E128C"/>
    <w:rsid w:val="008E2112"/>
    <w:rsid w:val="008E4516"/>
    <w:rsid w:val="008F00F5"/>
    <w:rsid w:val="008F64DB"/>
    <w:rsid w:val="008F6F19"/>
    <w:rsid w:val="00901537"/>
    <w:rsid w:val="00901CD8"/>
    <w:rsid w:val="00901E4E"/>
    <w:rsid w:val="00902474"/>
    <w:rsid w:val="00905EB5"/>
    <w:rsid w:val="0091072A"/>
    <w:rsid w:val="009114E0"/>
    <w:rsid w:val="00911F62"/>
    <w:rsid w:val="0091793C"/>
    <w:rsid w:val="00920811"/>
    <w:rsid w:val="00921CD6"/>
    <w:rsid w:val="009248C2"/>
    <w:rsid w:val="00932DC1"/>
    <w:rsid w:val="00936A47"/>
    <w:rsid w:val="00936C21"/>
    <w:rsid w:val="00941000"/>
    <w:rsid w:val="009414B1"/>
    <w:rsid w:val="009512EB"/>
    <w:rsid w:val="00954744"/>
    <w:rsid w:val="00954BFA"/>
    <w:rsid w:val="0095715D"/>
    <w:rsid w:val="00964534"/>
    <w:rsid w:val="00972F47"/>
    <w:rsid w:val="00974944"/>
    <w:rsid w:val="009772D4"/>
    <w:rsid w:val="00980199"/>
    <w:rsid w:val="00980F6B"/>
    <w:rsid w:val="00991C48"/>
    <w:rsid w:val="00995DCF"/>
    <w:rsid w:val="009A1CE6"/>
    <w:rsid w:val="009A29F8"/>
    <w:rsid w:val="009A3369"/>
    <w:rsid w:val="009A367F"/>
    <w:rsid w:val="009B04DE"/>
    <w:rsid w:val="009B0F50"/>
    <w:rsid w:val="009B2390"/>
    <w:rsid w:val="009B6C51"/>
    <w:rsid w:val="009B7E94"/>
    <w:rsid w:val="009C086B"/>
    <w:rsid w:val="009C5D6C"/>
    <w:rsid w:val="009C7FC8"/>
    <w:rsid w:val="009D0038"/>
    <w:rsid w:val="009D4CEA"/>
    <w:rsid w:val="009E54EC"/>
    <w:rsid w:val="00A03FA1"/>
    <w:rsid w:val="00A05EDB"/>
    <w:rsid w:val="00A06646"/>
    <w:rsid w:val="00A118EA"/>
    <w:rsid w:val="00A13387"/>
    <w:rsid w:val="00A138EA"/>
    <w:rsid w:val="00A1722C"/>
    <w:rsid w:val="00A17D09"/>
    <w:rsid w:val="00A21D33"/>
    <w:rsid w:val="00A2219C"/>
    <w:rsid w:val="00A25B47"/>
    <w:rsid w:val="00A317A1"/>
    <w:rsid w:val="00A33996"/>
    <w:rsid w:val="00A349BF"/>
    <w:rsid w:val="00A36016"/>
    <w:rsid w:val="00A3780B"/>
    <w:rsid w:val="00A43A39"/>
    <w:rsid w:val="00A47702"/>
    <w:rsid w:val="00A50ECA"/>
    <w:rsid w:val="00A51CF2"/>
    <w:rsid w:val="00A535E2"/>
    <w:rsid w:val="00A5578C"/>
    <w:rsid w:val="00A61785"/>
    <w:rsid w:val="00A70F6C"/>
    <w:rsid w:val="00A8184C"/>
    <w:rsid w:val="00A85F02"/>
    <w:rsid w:val="00A8773B"/>
    <w:rsid w:val="00A92617"/>
    <w:rsid w:val="00AA2004"/>
    <w:rsid w:val="00AA29D4"/>
    <w:rsid w:val="00AA5BC5"/>
    <w:rsid w:val="00AA77C3"/>
    <w:rsid w:val="00AB075A"/>
    <w:rsid w:val="00AB0FF3"/>
    <w:rsid w:val="00AB2CB7"/>
    <w:rsid w:val="00AC05A4"/>
    <w:rsid w:val="00AC5C29"/>
    <w:rsid w:val="00AC6562"/>
    <w:rsid w:val="00AC7944"/>
    <w:rsid w:val="00AE1ABE"/>
    <w:rsid w:val="00AE316B"/>
    <w:rsid w:val="00AE7AD3"/>
    <w:rsid w:val="00AF02FF"/>
    <w:rsid w:val="00AF2200"/>
    <w:rsid w:val="00AF4429"/>
    <w:rsid w:val="00AF5332"/>
    <w:rsid w:val="00B00764"/>
    <w:rsid w:val="00B02E80"/>
    <w:rsid w:val="00B03408"/>
    <w:rsid w:val="00B07565"/>
    <w:rsid w:val="00B076D7"/>
    <w:rsid w:val="00B17A47"/>
    <w:rsid w:val="00B22AA0"/>
    <w:rsid w:val="00B2501F"/>
    <w:rsid w:val="00B3041B"/>
    <w:rsid w:val="00B30A75"/>
    <w:rsid w:val="00B317E8"/>
    <w:rsid w:val="00B337C0"/>
    <w:rsid w:val="00B36C25"/>
    <w:rsid w:val="00B42154"/>
    <w:rsid w:val="00B421AC"/>
    <w:rsid w:val="00B45D98"/>
    <w:rsid w:val="00B53A54"/>
    <w:rsid w:val="00B53BAD"/>
    <w:rsid w:val="00B561C1"/>
    <w:rsid w:val="00B56293"/>
    <w:rsid w:val="00B61B7D"/>
    <w:rsid w:val="00B621E7"/>
    <w:rsid w:val="00B639CE"/>
    <w:rsid w:val="00B65321"/>
    <w:rsid w:val="00B6581C"/>
    <w:rsid w:val="00B7029D"/>
    <w:rsid w:val="00B709EA"/>
    <w:rsid w:val="00B7326F"/>
    <w:rsid w:val="00B74EBD"/>
    <w:rsid w:val="00B80EC8"/>
    <w:rsid w:val="00B81E86"/>
    <w:rsid w:val="00B843D1"/>
    <w:rsid w:val="00B851A3"/>
    <w:rsid w:val="00B85411"/>
    <w:rsid w:val="00B87E89"/>
    <w:rsid w:val="00BA23A5"/>
    <w:rsid w:val="00BA310E"/>
    <w:rsid w:val="00BA4A58"/>
    <w:rsid w:val="00BA50CC"/>
    <w:rsid w:val="00BA7293"/>
    <w:rsid w:val="00BA7D41"/>
    <w:rsid w:val="00BB6175"/>
    <w:rsid w:val="00BB6735"/>
    <w:rsid w:val="00BB7631"/>
    <w:rsid w:val="00BC66C0"/>
    <w:rsid w:val="00BD2AC8"/>
    <w:rsid w:val="00BD6939"/>
    <w:rsid w:val="00BE22A9"/>
    <w:rsid w:val="00BE45C8"/>
    <w:rsid w:val="00BE54F3"/>
    <w:rsid w:val="00BE7E8E"/>
    <w:rsid w:val="00BF1D2C"/>
    <w:rsid w:val="00C0673E"/>
    <w:rsid w:val="00C118FB"/>
    <w:rsid w:val="00C167A7"/>
    <w:rsid w:val="00C17758"/>
    <w:rsid w:val="00C219D4"/>
    <w:rsid w:val="00C21E67"/>
    <w:rsid w:val="00C24090"/>
    <w:rsid w:val="00C240DF"/>
    <w:rsid w:val="00C2494A"/>
    <w:rsid w:val="00C276FE"/>
    <w:rsid w:val="00C321FD"/>
    <w:rsid w:val="00C32410"/>
    <w:rsid w:val="00C33641"/>
    <w:rsid w:val="00C33DAC"/>
    <w:rsid w:val="00C36AFA"/>
    <w:rsid w:val="00C40BAC"/>
    <w:rsid w:val="00C4350D"/>
    <w:rsid w:val="00C475C0"/>
    <w:rsid w:val="00C4773F"/>
    <w:rsid w:val="00C53369"/>
    <w:rsid w:val="00C53B71"/>
    <w:rsid w:val="00C568A7"/>
    <w:rsid w:val="00C65336"/>
    <w:rsid w:val="00C65EE5"/>
    <w:rsid w:val="00C6740B"/>
    <w:rsid w:val="00C67848"/>
    <w:rsid w:val="00C71AA8"/>
    <w:rsid w:val="00C72C5F"/>
    <w:rsid w:val="00C73C0F"/>
    <w:rsid w:val="00C74EC6"/>
    <w:rsid w:val="00C75A65"/>
    <w:rsid w:val="00C80452"/>
    <w:rsid w:val="00C81563"/>
    <w:rsid w:val="00C83C7A"/>
    <w:rsid w:val="00C83F9D"/>
    <w:rsid w:val="00C86E6D"/>
    <w:rsid w:val="00C8719C"/>
    <w:rsid w:val="00C9501C"/>
    <w:rsid w:val="00C96910"/>
    <w:rsid w:val="00C97F22"/>
    <w:rsid w:val="00CA48A5"/>
    <w:rsid w:val="00CA4A25"/>
    <w:rsid w:val="00CA5C13"/>
    <w:rsid w:val="00CB42DB"/>
    <w:rsid w:val="00CB789F"/>
    <w:rsid w:val="00CC439E"/>
    <w:rsid w:val="00CC4965"/>
    <w:rsid w:val="00CC6F81"/>
    <w:rsid w:val="00CD18B5"/>
    <w:rsid w:val="00CD3C3A"/>
    <w:rsid w:val="00CD591E"/>
    <w:rsid w:val="00CF3E3B"/>
    <w:rsid w:val="00CF62E6"/>
    <w:rsid w:val="00CF6581"/>
    <w:rsid w:val="00D003D3"/>
    <w:rsid w:val="00D01509"/>
    <w:rsid w:val="00D035CD"/>
    <w:rsid w:val="00D072F2"/>
    <w:rsid w:val="00D104D3"/>
    <w:rsid w:val="00D10CFF"/>
    <w:rsid w:val="00D130D7"/>
    <w:rsid w:val="00D145F6"/>
    <w:rsid w:val="00D267F7"/>
    <w:rsid w:val="00D27B1A"/>
    <w:rsid w:val="00D41A8D"/>
    <w:rsid w:val="00D41D60"/>
    <w:rsid w:val="00D44E91"/>
    <w:rsid w:val="00D46927"/>
    <w:rsid w:val="00D477A9"/>
    <w:rsid w:val="00D50D18"/>
    <w:rsid w:val="00D52F30"/>
    <w:rsid w:val="00D53319"/>
    <w:rsid w:val="00D543AE"/>
    <w:rsid w:val="00D545BF"/>
    <w:rsid w:val="00D54D98"/>
    <w:rsid w:val="00D62D42"/>
    <w:rsid w:val="00D62EEC"/>
    <w:rsid w:val="00D63490"/>
    <w:rsid w:val="00D67275"/>
    <w:rsid w:val="00D700A2"/>
    <w:rsid w:val="00D70EDB"/>
    <w:rsid w:val="00D71D7C"/>
    <w:rsid w:val="00D72923"/>
    <w:rsid w:val="00D73987"/>
    <w:rsid w:val="00D73E48"/>
    <w:rsid w:val="00D744D1"/>
    <w:rsid w:val="00D74B40"/>
    <w:rsid w:val="00D74E4C"/>
    <w:rsid w:val="00D83E1D"/>
    <w:rsid w:val="00D84367"/>
    <w:rsid w:val="00D8520F"/>
    <w:rsid w:val="00D9333B"/>
    <w:rsid w:val="00D935A0"/>
    <w:rsid w:val="00D93DE5"/>
    <w:rsid w:val="00D94708"/>
    <w:rsid w:val="00D947F8"/>
    <w:rsid w:val="00D950EB"/>
    <w:rsid w:val="00DA30FA"/>
    <w:rsid w:val="00DB2FC3"/>
    <w:rsid w:val="00DB3CC5"/>
    <w:rsid w:val="00DB420F"/>
    <w:rsid w:val="00DB61E0"/>
    <w:rsid w:val="00DC3809"/>
    <w:rsid w:val="00DD1191"/>
    <w:rsid w:val="00DD32AD"/>
    <w:rsid w:val="00DE07A4"/>
    <w:rsid w:val="00DE2D5E"/>
    <w:rsid w:val="00DE54E8"/>
    <w:rsid w:val="00DE600A"/>
    <w:rsid w:val="00DE612A"/>
    <w:rsid w:val="00DE729B"/>
    <w:rsid w:val="00DE7537"/>
    <w:rsid w:val="00DF08E7"/>
    <w:rsid w:val="00DF1491"/>
    <w:rsid w:val="00DF23FA"/>
    <w:rsid w:val="00DF50D1"/>
    <w:rsid w:val="00DF6E84"/>
    <w:rsid w:val="00DF700F"/>
    <w:rsid w:val="00E0160F"/>
    <w:rsid w:val="00E0255C"/>
    <w:rsid w:val="00E044D1"/>
    <w:rsid w:val="00E049C6"/>
    <w:rsid w:val="00E050B8"/>
    <w:rsid w:val="00E066FB"/>
    <w:rsid w:val="00E06FCB"/>
    <w:rsid w:val="00E1101D"/>
    <w:rsid w:val="00E13367"/>
    <w:rsid w:val="00E13EB9"/>
    <w:rsid w:val="00E14A83"/>
    <w:rsid w:val="00E20AA4"/>
    <w:rsid w:val="00E2465D"/>
    <w:rsid w:val="00E308C4"/>
    <w:rsid w:val="00E3097B"/>
    <w:rsid w:val="00E34314"/>
    <w:rsid w:val="00E36105"/>
    <w:rsid w:val="00E44931"/>
    <w:rsid w:val="00E53FB0"/>
    <w:rsid w:val="00E5614D"/>
    <w:rsid w:val="00E60DB6"/>
    <w:rsid w:val="00E655CB"/>
    <w:rsid w:val="00E74462"/>
    <w:rsid w:val="00E76794"/>
    <w:rsid w:val="00E76A14"/>
    <w:rsid w:val="00E76F29"/>
    <w:rsid w:val="00E77C1E"/>
    <w:rsid w:val="00E8796A"/>
    <w:rsid w:val="00E93352"/>
    <w:rsid w:val="00E93622"/>
    <w:rsid w:val="00E96D3E"/>
    <w:rsid w:val="00EA1709"/>
    <w:rsid w:val="00EA1868"/>
    <w:rsid w:val="00EA1E3F"/>
    <w:rsid w:val="00EB14A8"/>
    <w:rsid w:val="00EB3610"/>
    <w:rsid w:val="00EB3B83"/>
    <w:rsid w:val="00EB47DE"/>
    <w:rsid w:val="00EB6013"/>
    <w:rsid w:val="00EB65E2"/>
    <w:rsid w:val="00EB7665"/>
    <w:rsid w:val="00EC22F6"/>
    <w:rsid w:val="00EC36C8"/>
    <w:rsid w:val="00EC5590"/>
    <w:rsid w:val="00EC6EDB"/>
    <w:rsid w:val="00EC6FFE"/>
    <w:rsid w:val="00ED1D79"/>
    <w:rsid w:val="00ED278B"/>
    <w:rsid w:val="00ED3E56"/>
    <w:rsid w:val="00ED405C"/>
    <w:rsid w:val="00EE1077"/>
    <w:rsid w:val="00EE2EB7"/>
    <w:rsid w:val="00EE69C7"/>
    <w:rsid w:val="00EF003A"/>
    <w:rsid w:val="00EF0567"/>
    <w:rsid w:val="00EF0BDB"/>
    <w:rsid w:val="00EF28E5"/>
    <w:rsid w:val="00EF35A7"/>
    <w:rsid w:val="00EF3EF1"/>
    <w:rsid w:val="00F009B7"/>
    <w:rsid w:val="00F011FA"/>
    <w:rsid w:val="00F04425"/>
    <w:rsid w:val="00F05169"/>
    <w:rsid w:val="00F066F5"/>
    <w:rsid w:val="00F06EDD"/>
    <w:rsid w:val="00F12AFD"/>
    <w:rsid w:val="00F159EE"/>
    <w:rsid w:val="00F174A3"/>
    <w:rsid w:val="00F20BF4"/>
    <w:rsid w:val="00F21ACC"/>
    <w:rsid w:val="00F2559C"/>
    <w:rsid w:val="00F3145F"/>
    <w:rsid w:val="00F31A3A"/>
    <w:rsid w:val="00F322DE"/>
    <w:rsid w:val="00F33AFB"/>
    <w:rsid w:val="00F34B1E"/>
    <w:rsid w:val="00F3584B"/>
    <w:rsid w:val="00F35AE4"/>
    <w:rsid w:val="00F46DDD"/>
    <w:rsid w:val="00F50EC7"/>
    <w:rsid w:val="00F5118D"/>
    <w:rsid w:val="00F518A1"/>
    <w:rsid w:val="00F54278"/>
    <w:rsid w:val="00F55D66"/>
    <w:rsid w:val="00F56884"/>
    <w:rsid w:val="00F57EB7"/>
    <w:rsid w:val="00F6021A"/>
    <w:rsid w:val="00F762DA"/>
    <w:rsid w:val="00F80C56"/>
    <w:rsid w:val="00F8173D"/>
    <w:rsid w:val="00F8202D"/>
    <w:rsid w:val="00F8289E"/>
    <w:rsid w:val="00F84C16"/>
    <w:rsid w:val="00F8633E"/>
    <w:rsid w:val="00F86505"/>
    <w:rsid w:val="00F8743E"/>
    <w:rsid w:val="00F92339"/>
    <w:rsid w:val="00F93C93"/>
    <w:rsid w:val="00F945EA"/>
    <w:rsid w:val="00F968FB"/>
    <w:rsid w:val="00FA4ABF"/>
    <w:rsid w:val="00FA5813"/>
    <w:rsid w:val="00FB03FA"/>
    <w:rsid w:val="00FB4DE4"/>
    <w:rsid w:val="00FB516E"/>
    <w:rsid w:val="00FB5D4F"/>
    <w:rsid w:val="00FB6DDA"/>
    <w:rsid w:val="00FB71BB"/>
    <w:rsid w:val="00FC100C"/>
    <w:rsid w:val="00FC2210"/>
    <w:rsid w:val="00FC6953"/>
    <w:rsid w:val="00FC6B41"/>
    <w:rsid w:val="00FC7709"/>
    <w:rsid w:val="00FD0B7E"/>
    <w:rsid w:val="00FD0C11"/>
    <w:rsid w:val="00FD4E27"/>
    <w:rsid w:val="00FD6883"/>
    <w:rsid w:val="00FE0E92"/>
    <w:rsid w:val="00FE7464"/>
    <w:rsid w:val="00FF42EF"/>
    <w:rsid w:val="00FF50D4"/>
    <w:rsid w:val="00FF5C7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  №1 </a:t>
            </a:r>
          </a:p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"Соотношение поступивших обращений из разных инстанций (в сравнении за все кварталы 2019 года) </a:t>
            </a:r>
            <a:r>
              <a:rPr lang="ru-RU" sz="1800">
                <a:latin typeface="+mn-lt"/>
                <a:cs typeface="+mn-cs"/>
              </a:rPr>
              <a:t>"</a:t>
            </a:r>
            <a:endParaRPr lang="ru-RU"/>
          </a:p>
        </c:rich>
      </c:tx>
      <c:layout>
        <c:manualLayout>
          <c:xMode val="edge"/>
          <c:yMode val="edge"/>
          <c:x val="0.144369666796134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86709508845027"/>
          <c:y val="0.29560516275671722"/>
          <c:w val="0.78012389706892016"/>
          <c:h val="0.371216468032130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1366</c:v>
                </c:pt>
                <c:pt idx="1">
                  <c:v>670</c:v>
                </c:pt>
                <c:pt idx="2">
                  <c:v>697</c:v>
                </c:pt>
                <c:pt idx="3">
                  <c:v>78</c:v>
                </c:pt>
                <c:pt idx="4">
                  <c:v>27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793</c:v>
                </c:pt>
                <c:pt idx="1">
                  <c:v>370</c:v>
                </c:pt>
                <c:pt idx="2">
                  <c:v>382</c:v>
                </c:pt>
                <c:pt idx="3">
                  <c:v>41</c:v>
                </c:pt>
                <c:pt idx="4">
                  <c:v>19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958</c:v>
                </c:pt>
                <c:pt idx="1">
                  <c:v>390</c:v>
                </c:pt>
                <c:pt idx="2">
                  <c:v>568</c:v>
                </c:pt>
                <c:pt idx="3">
                  <c:v>50</c:v>
                </c:pt>
                <c:pt idx="4">
                  <c:v>20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 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881</c:v>
                </c:pt>
                <c:pt idx="1">
                  <c:v>466</c:v>
                </c:pt>
                <c:pt idx="2">
                  <c:v>415</c:v>
                </c:pt>
                <c:pt idx="3">
                  <c:v>61</c:v>
                </c:pt>
                <c:pt idx="4">
                  <c:v>20</c:v>
                </c:pt>
                <c:pt idx="5">
                  <c:v>12</c:v>
                </c:pt>
                <c:pt idx="6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51712"/>
        <c:axId val="105443328"/>
      </c:lineChart>
      <c:catAx>
        <c:axId val="1048517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05443328"/>
        <c:crosses val="autoZero"/>
        <c:auto val="1"/>
        <c:lblAlgn val="ctr"/>
        <c:lblOffset val="100"/>
        <c:noMultiLvlLbl val="1"/>
      </c:catAx>
      <c:valAx>
        <c:axId val="105443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4851712"/>
        <c:crosses val="autoZero"/>
        <c:crossBetween val="between"/>
      </c:valAx>
      <c:spPr>
        <a:ln>
          <a:solidFill>
            <a:schemeClr val="accent1">
              <a:alpha val="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1442949676133536"/>
          <c:y val="3.8622800548722948E-2"/>
          <c:w val="0.18557050323866467"/>
          <c:h val="0.2578668575518969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+mj-lt"/>
              </a:defRPr>
            </a:pPr>
            <a:r>
              <a:rPr lang="ru-RU" sz="1400">
                <a:latin typeface="+mj-lt"/>
              </a:rPr>
              <a:t>Диаграмма №2</a:t>
            </a:r>
          </a:p>
          <a:p>
            <a:pPr algn="ctr">
              <a:defRPr sz="1400">
                <a:latin typeface="+mj-lt"/>
              </a:defRPr>
            </a:pPr>
            <a:r>
              <a:rPr lang="ru-RU" sz="1400">
                <a:latin typeface="+mj-lt"/>
              </a:rPr>
              <a:t>Соотношения количества обращений по блокам вопросов за </a:t>
            </a:r>
            <a:r>
              <a:rPr lang="ru-RU" sz="1400" baseline="0">
                <a:latin typeface="+mj-lt"/>
              </a:rPr>
              <a:t>  2019 г.</a:t>
            </a:r>
            <a:endParaRPr lang="ru-RU" sz="1400">
              <a:latin typeface="+mj-lt"/>
            </a:endParaRPr>
          </a:p>
          <a:p>
            <a:pPr algn="ctr">
              <a:defRPr sz="1400">
                <a:latin typeface="+mj-lt"/>
              </a:defRPr>
            </a:pPr>
            <a:endParaRPr lang="ru-RU" sz="1400">
              <a:latin typeface="+mj-lt"/>
            </a:endParaRPr>
          </a:p>
        </c:rich>
      </c:tx>
      <c:layout>
        <c:manualLayout>
          <c:xMode val="edge"/>
          <c:yMode val="edge"/>
          <c:x val="0.16454537226733806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ln>
          <a:solidFill>
            <a:schemeClr val="accent1"/>
          </a:solidFill>
        </a:ln>
      </c:spPr>
    </c:sideWall>
    <c:backWall>
      <c:thickness val="0"/>
      <c:spPr>
        <a:ln>
          <a:solidFill>
            <a:schemeClr val="accent1"/>
          </a:solidFill>
        </a:ln>
      </c:spPr>
    </c:backWall>
    <c:plotArea>
      <c:layout>
        <c:manualLayout>
          <c:layoutTarget val="inner"/>
          <c:xMode val="edge"/>
          <c:yMode val="edge"/>
          <c:x val="1.1034976427319626E-2"/>
          <c:y val="0.1502040159090543"/>
          <c:w val="0.63899982721595538"/>
          <c:h val="0.849337270341207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Lbls>
            <c:dLbl>
              <c:idx val="0"/>
              <c:layout>
                <c:manualLayout>
                  <c:x val="1.8808777429467086E-2"/>
                  <c:y val="-6.33946830265848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1504702194357292E-2"/>
                  <c:y val="-3.27198364008179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853709508881923"/>
                  <c:y val="-3.6809815950920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9864158829676077E-2"/>
                  <c:y val="1.84049079754601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420062695924765"/>
                  <c:y val="-0.147239263803680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6133751306165097E-2"/>
                  <c:y val="8.38445807770961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4785788923719959E-2"/>
                  <c:y val="-4.08997955010224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3;1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"/>
                  <c:y val="-6.74846625766871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1347962382445103E-2"/>
                  <c:y val="-7.97546012269938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Лист1!$A$2:$A$17</c:f>
              <c:strCache>
                <c:ptCount val="9"/>
                <c:pt idx="0">
                  <c:v>вопросы семьи</c:v>
                </c:pt>
                <c:pt idx="1">
                  <c:v>присвоение звания</c:v>
                </c:pt>
                <c:pt idx="2">
                  <c:v>материальная помощь</c:v>
                </c:pt>
                <c:pt idx="3">
                  <c:v>тср 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вопросы вне компетенции </c:v>
                </c:pt>
                <c:pt idx="8">
                  <c:v>социальное страхование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9"/>
                <c:pt idx="0">
                  <c:v>404</c:v>
                </c:pt>
                <c:pt idx="1">
                  <c:v>151</c:v>
                </c:pt>
                <c:pt idx="2">
                  <c:v>997</c:v>
                </c:pt>
                <c:pt idx="3">
                  <c:v>111</c:v>
                </c:pt>
                <c:pt idx="4">
                  <c:v>1591</c:v>
                </c:pt>
                <c:pt idx="5">
                  <c:v>450</c:v>
                </c:pt>
                <c:pt idx="6">
                  <c:v>22</c:v>
                </c:pt>
                <c:pt idx="7">
                  <c:v>262</c:v>
                </c:pt>
                <c:pt idx="8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92374464163766"/>
          <c:y val="0.30309558180227469"/>
          <c:w val="0.27762693456421395"/>
          <c:h val="0.45207283464566927"/>
        </c:manualLayout>
      </c:layout>
      <c:overlay val="0"/>
    </c:legend>
    <c:plotVisOnly val="1"/>
    <c:dispBlanksAs val="gap"/>
    <c:showDLblsOverMax val="0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099190726159232E-2"/>
          <c:y val="0.18963910761154859"/>
          <c:w val="0.70726104549431335"/>
          <c:h val="0.711892575928009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73%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  <c:pt idx="3">
                  <c:v>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657</c:v>
                </c:pt>
                <c:pt idx="1">
                  <c:v>657</c:v>
                </c:pt>
                <c:pt idx="2">
                  <c:v>2556</c:v>
                </c:pt>
                <c:pt idx="3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9067955290635401E-2"/>
          <c:y val="8.6832070519486951E-2"/>
          <c:w val="0.86557117276228324"/>
          <c:h val="0.59174490512629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189</c:v>
                </c:pt>
                <c:pt idx="1">
                  <c:v>82</c:v>
                </c:pt>
                <c:pt idx="2">
                  <c:v>269</c:v>
                </c:pt>
                <c:pt idx="3">
                  <c:v>37</c:v>
                </c:pt>
                <c:pt idx="4">
                  <c:v>467</c:v>
                </c:pt>
                <c:pt idx="5">
                  <c:v>183</c:v>
                </c:pt>
                <c:pt idx="6">
                  <c:v>14</c:v>
                </c:pt>
                <c:pt idx="7">
                  <c:v>17</c:v>
                </c:pt>
                <c:pt idx="8">
                  <c:v>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82</c:v>
                </c:pt>
                <c:pt idx="1">
                  <c:v>45</c:v>
                </c:pt>
                <c:pt idx="2">
                  <c:v>238</c:v>
                </c:pt>
                <c:pt idx="3">
                  <c:v>23</c:v>
                </c:pt>
                <c:pt idx="4">
                  <c:v>243</c:v>
                </c:pt>
                <c:pt idx="5">
                  <c:v>89</c:v>
                </c:pt>
                <c:pt idx="6">
                  <c:v>4</c:v>
                </c:pt>
                <c:pt idx="7">
                  <c:v>21</c:v>
                </c:pt>
                <c:pt idx="8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63</c:v>
                </c:pt>
                <c:pt idx="1">
                  <c:v>15</c:v>
                </c:pt>
                <c:pt idx="2">
                  <c:v>217</c:v>
                </c:pt>
                <c:pt idx="3">
                  <c:v>23</c:v>
                </c:pt>
                <c:pt idx="4">
                  <c:v>465</c:v>
                </c:pt>
                <c:pt idx="5">
                  <c:v>96</c:v>
                </c:pt>
                <c:pt idx="6">
                  <c:v>3</c:v>
                </c:pt>
                <c:pt idx="7">
                  <c:v>21</c:v>
                </c:pt>
                <c:pt idx="8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квартвал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70</c:v>
                </c:pt>
                <c:pt idx="1">
                  <c:v>9</c:v>
                </c:pt>
                <c:pt idx="2">
                  <c:v>273</c:v>
                </c:pt>
                <c:pt idx="3">
                  <c:v>28</c:v>
                </c:pt>
                <c:pt idx="4">
                  <c:v>416</c:v>
                </c:pt>
                <c:pt idx="5">
                  <c:v>85</c:v>
                </c:pt>
                <c:pt idx="6">
                  <c:v>1</c:v>
                </c:pt>
                <c:pt idx="7">
                  <c:v>20</c:v>
                </c:pt>
                <c:pt idx="8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156160"/>
        <c:axId val="102157696"/>
      </c:barChart>
      <c:catAx>
        <c:axId val="102156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2157696"/>
        <c:crosses val="autoZero"/>
        <c:auto val="1"/>
        <c:lblAlgn val="ctr"/>
        <c:lblOffset val="100"/>
        <c:noMultiLvlLbl val="0"/>
      </c:catAx>
      <c:valAx>
        <c:axId val="10215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>
            <a:glow rad="1905000">
              <a:schemeClr val="accent1">
                <a:alpha val="39000"/>
              </a:schemeClr>
            </a:glow>
            <a:softEdge rad="1270000"/>
          </a:effectLst>
        </c:spPr>
        <c:crossAx val="102156160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8423855896517608"/>
          <c:y val="0.80919469971913871"/>
          <c:w val="0.14972780271624925"/>
          <c:h val="0.1908053002808611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4089845435987169"/>
          <c:y val="2.70584375482476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485292116263239E-2"/>
          <c:y val="0.27282808398950131"/>
          <c:w val="0.95284611645766504"/>
          <c:h val="0.43556044465030108"/>
        </c:manualLayout>
      </c:layou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141</c:v>
                </c:pt>
                <c:pt idx="1">
                  <c:v>340</c:v>
                </c:pt>
                <c:pt idx="2">
                  <c:v>8</c:v>
                </c:pt>
                <c:pt idx="3">
                  <c:v>13</c:v>
                </c:pt>
                <c:pt idx="4">
                  <c:v>12</c:v>
                </c:pt>
                <c:pt idx="5">
                  <c:v>11</c:v>
                </c:pt>
                <c:pt idx="6">
                  <c:v>13</c:v>
                </c:pt>
                <c:pt idx="7">
                  <c:v>10</c:v>
                </c:pt>
                <c:pt idx="8">
                  <c:v>7</c:v>
                </c:pt>
                <c:pt idx="9">
                  <c:v>48</c:v>
                </c:pt>
                <c:pt idx="10">
                  <c:v>22</c:v>
                </c:pt>
                <c:pt idx="11">
                  <c:v>13</c:v>
                </c:pt>
                <c:pt idx="12">
                  <c:v>29</c:v>
                </c:pt>
                <c:pt idx="13">
                  <c:v>6</c:v>
                </c:pt>
                <c:pt idx="14">
                  <c:v>9</c:v>
                </c:pt>
                <c:pt idx="15">
                  <c:v>11</c:v>
                </c:pt>
                <c:pt idx="16">
                  <c:v>10</c:v>
                </c:pt>
                <c:pt idx="17">
                  <c:v>8</c:v>
                </c:pt>
                <c:pt idx="18">
                  <c:v>7</c:v>
                </c:pt>
                <c:pt idx="19">
                  <c:v>6</c:v>
                </c:pt>
                <c:pt idx="20">
                  <c:v>2</c:v>
                </c:pt>
                <c:pt idx="21">
                  <c:v>5</c:v>
                </c:pt>
                <c:pt idx="22">
                  <c:v>8</c:v>
                </c:pt>
                <c:pt idx="23">
                  <c:v>24</c:v>
                </c:pt>
                <c:pt idx="24">
                  <c:v>6</c:v>
                </c:pt>
                <c:pt idx="25">
                  <c:v>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2019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248</c:v>
                </c:pt>
                <c:pt idx="1">
                  <c:v>326</c:v>
                </c:pt>
                <c:pt idx="2">
                  <c:v>5</c:v>
                </c:pt>
                <c:pt idx="5">
                  <c:v>14</c:v>
                </c:pt>
                <c:pt idx="6">
                  <c:v>16</c:v>
                </c:pt>
                <c:pt idx="7">
                  <c:v>9</c:v>
                </c:pt>
                <c:pt idx="8">
                  <c:v>12</c:v>
                </c:pt>
                <c:pt idx="9">
                  <c:v>55</c:v>
                </c:pt>
                <c:pt idx="10">
                  <c:v>27</c:v>
                </c:pt>
                <c:pt idx="11">
                  <c:v>28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13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3</c:v>
                </c:pt>
                <c:pt idx="20">
                  <c:v>2</c:v>
                </c:pt>
                <c:pt idx="21">
                  <c:v>7</c:v>
                </c:pt>
                <c:pt idx="22">
                  <c:v>18</c:v>
                </c:pt>
                <c:pt idx="23">
                  <c:v>47</c:v>
                </c:pt>
                <c:pt idx="24">
                  <c:v>4</c:v>
                </c:pt>
                <c:pt idx="25">
                  <c:v>30</c:v>
                </c:pt>
              </c:numCache>
            </c:numRef>
          </c:val>
          <c:smooth val="0"/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170</c:v>
                </c:pt>
                <c:pt idx="1">
                  <c:v>575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51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112</c:v>
                </c:pt>
                <c:pt idx="10">
                  <c:v>30</c:v>
                </c:pt>
                <c:pt idx="11">
                  <c:v>40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19</c:v>
                </c:pt>
                <c:pt idx="16">
                  <c:v>24</c:v>
                </c:pt>
                <c:pt idx="17">
                  <c:v>24</c:v>
                </c:pt>
                <c:pt idx="18">
                  <c:v>26</c:v>
                </c:pt>
                <c:pt idx="19">
                  <c:v>25</c:v>
                </c:pt>
                <c:pt idx="20">
                  <c:v>22</c:v>
                </c:pt>
                <c:pt idx="21">
                  <c:v>18</c:v>
                </c:pt>
                <c:pt idx="22">
                  <c:v>23</c:v>
                </c:pt>
                <c:pt idx="23">
                  <c:v>16</c:v>
                </c:pt>
                <c:pt idx="24">
                  <c:v>16</c:v>
                </c:pt>
                <c:pt idx="25">
                  <c:v>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 2019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Лист1!$E$2:$E$27</c:f>
              <c:numCache>
                <c:formatCode>General</c:formatCode>
                <c:ptCount val="26"/>
                <c:pt idx="0">
                  <c:v>239</c:v>
                </c:pt>
                <c:pt idx="1">
                  <c:v>319</c:v>
                </c:pt>
                <c:pt idx="2">
                  <c:v>3</c:v>
                </c:pt>
                <c:pt idx="3">
                  <c:v>11</c:v>
                </c:pt>
                <c:pt idx="4">
                  <c:v>8</c:v>
                </c:pt>
                <c:pt idx="5">
                  <c:v>13</c:v>
                </c:pt>
                <c:pt idx="6">
                  <c:v>9</c:v>
                </c:pt>
                <c:pt idx="7">
                  <c:v>3</c:v>
                </c:pt>
                <c:pt idx="8">
                  <c:v>15</c:v>
                </c:pt>
                <c:pt idx="9">
                  <c:v>45</c:v>
                </c:pt>
                <c:pt idx="10">
                  <c:v>15</c:v>
                </c:pt>
                <c:pt idx="11">
                  <c:v>25</c:v>
                </c:pt>
                <c:pt idx="12">
                  <c:v>17</c:v>
                </c:pt>
                <c:pt idx="13">
                  <c:v>13</c:v>
                </c:pt>
                <c:pt idx="14">
                  <c:v>9</c:v>
                </c:pt>
                <c:pt idx="15">
                  <c:v>13</c:v>
                </c:pt>
                <c:pt idx="16">
                  <c:v>10</c:v>
                </c:pt>
                <c:pt idx="17">
                  <c:v>11</c:v>
                </c:pt>
                <c:pt idx="18">
                  <c:v>5</c:v>
                </c:pt>
                <c:pt idx="19">
                  <c:v>0</c:v>
                </c:pt>
                <c:pt idx="20">
                  <c:v>5</c:v>
                </c:pt>
                <c:pt idx="21">
                  <c:v>5</c:v>
                </c:pt>
                <c:pt idx="22">
                  <c:v>32</c:v>
                </c:pt>
                <c:pt idx="23">
                  <c:v>14</c:v>
                </c:pt>
                <c:pt idx="24">
                  <c:v>12</c:v>
                </c:pt>
                <c:pt idx="25">
                  <c:v>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782080"/>
        <c:axId val="102783616"/>
      </c:lineChart>
      <c:catAx>
        <c:axId val="10278208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02783616"/>
        <c:crosses val="autoZero"/>
        <c:auto val="1"/>
        <c:lblAlgn val="ctr"/>
        <c:lblOffset val="100"/>
        <c:noMultiLvlLbl val="0"/>
      </c:catAx>
      <c:valAx>
        <c:axId val="1027836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278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68986876640415"/>
          <c:y val="0.12322662627002491"/>
          <c:w val="0.31031010012637311"/>
          <c:h val="0.1405187586845761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BE9E-EE79-4BB6-80A9-1E280F55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Пользователь</cp:lastModifiedBy>
  <cp:revision>4</cp:revision>
  <cp:lastPrinted>2020-01-21T07:22:00Z</cp:lastPrinted>
  <dcterms:created xsi:type="dcterms:W3CDTF">2020-01-21T05:36:00Z</dcterms:created>
  <dcterms:modified xsi:type="dcterms:W3CDTF">2020-01-21T07:24:00Z</dcterms:modified>
</cp:coreProperties>
</file>