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11" w:rsidRDefault="00B85411" w:rsidP="00622279">
      <w:pPr>
        <w:spacing w:after="0" w:line="240" w:lineRule="auto"/>
        <w:rPr>
          <w:rFonts w:ascii="PT Astra Serif" w:hAnsi="PT Astra Serif" w:cs="Times New Roman"/>
          <w:b/>
          <w:sz w:val="32"/>
          <w:szCs w:val="32"/>
          <w:u w:val="single"/>
        </w:rPr>
      </w:pPr>
    </w:p>
    <w:p w:rsidR="00D84367" w:rsidRPr="003049BD" w:rsidRDefault="00BA50CC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АНАЛИЗ</w:t>
      </w:r>
    </w:p>
    <w:p w:rsidR="00A03FA1" w:rsidRPr="003049BD" w:rsidRDefault="007F5E35" w:rsidP="003961B1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  <w:u w:val="single"/>
        </w:rPr>
      </w:pPr>
      <w:r w:rsidRPr="003049BD">
        <w:rPr>
          <w:rFonts w:ascii="PT Astra Serif" w:hAnsi="PT Astra Serif" w:cs="Times New Roman"/>
          <w:b/>
          <w:sz w:val="32"/>
          <w:szCs w:val="32"/>
          <w:u w:val="single"/>
        </w:rPr>
        <w:t>о</w:t>
      </w:r>
      <w:r w:rsidR="00BA50CC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бращений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граждан </w:t>
      </w:r>
      <w:r w:rsidR="00A03FA1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и </w:t>
      </w:r>
      <w:r w:rsidR="003C0AB3" w:rsidRPr="003049BD">
        <w:rPr>
          <w:rFonts w:ascii="PT Astra Serif" w:hAnsi="PT Astra Serif" w:cs="Times New Roman"/>
          <w:b/>
          <w:sz w:val="32"/>
          <w:szCs w:val="32"/>
          <w:u w:val="single"/>
        </w:rPr>
        <w:t xml:space="preserve"> </w:t>
      </w:r>
      <w:r w:rsidR="00874E4B" w:rsidRPr="003049BD">
        <w:rPr>
          <w:rFonts w:ascii="PT Astra Serif" w:hAnsi="PT Astra Serif" w:cs="Times New Roman"/>
          <w:b/>
          <w:sz w:val="32"/>
          <w:szCs w:val="32"/>
          <w:u w:val="single"/>
        </w:rPr>
        <w:t>организаций</w:t>
      </w:r>
    </w:p>
    <w:p w:rsidR="00793459" w:rsidRPr="003961B1" w:rsidRDefault="003961B1" w:rsidP="0079345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поступивших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в Министерство </w:t>
      </w:r>
      <w:r w:rsidR="00EE1077" w:rsidRPr="003961B1">
        <w:rPr>
          <w:rFonts w:ascii="PT Astra Serif" w:hAnsi="PT Astra Serif" w:cs="Times New Roman"/>
          <w:sz w:val="28"/>
          <w:szCs w:val="28"/>
        </w:rPr>
        <w:t>семейной, демографической политики</w:t>
      </w:r>
      <w:r w:rsidR="001C4EE5" w:rsidRPr="003961B1">
        <w:rPr>
          <w:rFonts w:ascii="PT Astra Serif" w:hAnsi="PT Astra Serif" w:cs="Times New Roman"/>
          <w:sz w:val="28"/>
          <w:szCs w:val="28"/>
        </w:rPr>
        <w:t xml:space="preserve"> и </w:t>
      </w:r>
    </w:p>
    <w:p w:rsidR="00793459" w:rsidRDefault="00793459" w:rsidP="0079345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sz w:val="28"/>
          <w:szCs w:val="28"/>
        </w:rPr>
        <w:t>за 20</w:t>
      </w:r>
      <w:r>
        <w:rPr>
          <w:rFonts w:ascii="PT Astra Serif" w:hAnsi="PT Astra Serif" w:cs="Times New Roman"/>
          <w:b/>
          <w:sz w:val="28"/>
          <w:szCs w:val="28"/>
        </w:rPr>
        <w:t xml:space="preserve">20 </w:t>
      </w:r>
      <w:r w:rsidRPr="003049BD">
        <w:rPr>
          <w:rFonts w:ascii="PT Astra Serif" w:hAnsi="PT Astra Serif" w:cs="Times New Roman"/>
          <w:b/>
          <w:sz w:val="28"/>
          <w:szCs w:val="28"/>
        </w:rPr>
        <w:t>года</w:t>
      </w:r>
    </w:p>
    <w:p w:rsidR="00793459" w:rsidRPr="003049BD" w:rsidRDefault="00793459" w:rsidP="0079345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29F8" w:rsidRDefault="00793459" w:rsidP="00304A0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12EB5">
        <w:rPr>
          <w:rFonts w:ascii="PT Astra Serif" w:hAnsi="PT Astra Serif" w:cs="Times New Roman"/>
          <w:sz w:val="28"/>
          <w:szCs w:val="28"/>
        </w:rPr>
        <w:t>Деятельность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Министерства семейной, демографической политики и социального благополучия Ульяновской области по организации работы с обращениями граждан осуществляется в соответствии с 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Положениями </w:t>
      </w:r>
      <w:r w:rsidR="001C4EE5" w:rsidRPr="003961B1">
        <w:rPr>
          <w:rFonts w:ascii="PT Astra Serif" w:hAnsi="PT Astra Serif" w:cs="Times New Roman"/>
          <w:sz w:val="28"/>
          <w:szCs w:val="28"/>
        </w:rPr>
        <w:t>социального благополучия Ульяновской области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Федерального закона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от</w:t>
      </w:r>
      <w:r w:rsidR="003961B1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02.05.2006 №59-ФЗ «О порядке рассмотрения обращений г</w:t>
      </w:r>
      <w:r w:rsidR="00304A07">
        <w:rPr>
          <w:rFonts w:ascii="PT Astra Serif" w:hAnsi="PT Astra Serif" w:cs="Times New Roman"/>
          <w:sz w:val="28"/>
          <w:szCs w:val="28"/>
        </w:rPr>
        <w:t xml:space="preserve">раждан в Российской Федерации» </w:t>
      </w:r>
      <w:r w:rsidR="009A29F8">
        <w:rPr>
          <w:rFonts w:ascii="PT Astra Serif" w:hAnsi="PT Astra Serif" w:cs="Times New Roman"/>
          <w:sz w:val="28"/>
          <w:szCs w:val="28"/>
        </w:rPr>
        <w:t>и  «Инструкцией  по работе с обращениями граждан и организаций в Министерстве семейной, демографической политики</w:t>
      </w:r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и социального благополучия  Ульяновской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области  работы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с обращениями</w:t>
      </w:r>
      <w:proofErr w:type="gramEnd"/>
      <w:r w:rsidR="00304A07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 граждан и организаций»  от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 xml:space="preserve">29.05.2019№73-п. </w:t>
      </w:r>
    </w:p>
    <w:p w:rsidR="009A29F8" w:rsidRDefault="006154AC" w:rsidP="009A29F8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 протяжении</w:t>
      </w:r>
      <w:r w:rsidR="009A29F8">
        <w:rPr>
          <w:rFonts w:ascii="PT Astra Serif" w:hAnsi="PT Astra Serif" w:cs="Times New Roman"/>
          <w:sz w:val="28"/>
          <w:szCs w:val="28"/>
        </w:rPr>
        <w:t xml:space="preserve"> 20</w:t>
      </w:r>
      <w:r w:rsidR="00744D67">
        <w:rPr>
          <w:rFonts w:ascii="PT Astra Serif" w:hAnsi="PT Astra Serif" w:cs="Times New Roman"/>
          <w:sz w:val="28"/>
          <w:szCs w:val="28"/>
        </w:rPr>
        <w:t>20</w:t>
      </w:r>
      <w:r w:rsidR="009A29F8">
        <w:rPr>
          <w:rFonts w:ascii="PT Astra Serif" w:hAnsi="PT Astra Serif" w:cs="Times New Roman"/>
          <w:sz w:val="28"/>
          <w:szCs w:val="28"/>
        </w:rPr>
        <w:t xml:space="preserve"> года проводилась целенаправленная работа с обращениями граждан, которая позволяет правильно оценивать ситуацию и своевременно вносить продиктованные жизнью коррективы в реализацию решений органов исполнительной власти. Дан</w:t>
      </w:r>
      <w:r>
        <w:rPr>
          <w:rFonts w:ascii="PT Astra Serif" w:hAnsi="PT Astra Serif" w:cs="Times New Roman"/>
          <w:sz w:val="28"/>
          <w:szCs w:val="28"/>
        </w:rPr>
        <w:t>ная работа</w:t>
      </w:r>
      <w:r w:rsidR="009A29F8">
        <w:rPr>
          <w:rFonts w:ascii="PT Astra Serif" w:hAnsi="PT Astra Serif" w:cs="Times New Roman"/>
          <w:sz w:val="28"/>
          <w:szCs w:val="28"/>
        </w:rPr>
        <w:t xml:space="preserve"> направлена на качественное рассмотрение </w:t>
      </w:r>
      <w:r w:rsidR="002214AD">
        <w:rPr>
          <w:rFonts w:ascii="PT Astra Serif" w:hAnsi="PT Astra Serif" w:cs="Times New Roman"/>
          <w:sz w:val="28"/>
          <w:szCs w:val="28"/>
        </w:rPr>
        <w:t xml:space="preserve"> </w:t>
      </w:r>
      <w:r w:rsidR="009A29F8">
        <w:rPr>
          <w:rFonts w:ascii="PT Astra Serif" w:hAnsi="PT Astra Serif" w:cs="Times New Roman"/>
          <w:sz w:val="28"/>
          <w:szCs w:val="28"/>
        </w:rPr>
        <w:t>письменных и устных обращений, организацию и проведение личных приемов руководством Министерства.</w:t>
      </w:r>
    </w:p>
    <w:p w:rsidR="00EB6013" w:rsidRDefault="00FF752C" w:rsidP="00622279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В</w:t>
      </w:r>
      <w:r w:rsidR="00A50ECA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92D" w:rsidRPr="003049B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>20</w:t>
      </w:r>
      <w:r w:rsidR="00C01D04">
        <w:rPr>
          <w:rFonts w:ascii="PT Astra Serif" w:hAnsi="PT Astra Serif" w:cs="Times New Roman"/>
          <w:b/>
          <w:sz w:val="28"/>
          <w:szCs w:val="28"/>
        </w:rPr>
        <w:t>20</w:t>
      </w:r>
      <w:r w:rsidR="00B42154" w:rsidRPr="003049BD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D73987">
        <w:rPr>
          <w:rFonts w:ascii="PT Astra Serif" w:hAnsi="PT Astra Serif" w:cs="Times New Roman"/>
          <w:b/>
          <w:sz w:val="28"/>
          <w:szCs w:val="28"/>
        </w:rPr>
        <w:t xml:space="preserve">у </w:t>
      </w:r>
      <w:r w:rsidR="00B42154" w:rsidRPr="003049BD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Министерством  семейной, демографической политики и социального благополучия Ульяновской области рассмотрено 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>5279 (2019</w:t>
      </w:r>
      <w:r w:rsidR="004A6E92" w:rsidRPr="00744D6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>-</w:t>
      </w:r>
      <w:r w:rsidR="004A6E92" w:rsidRPr="00744D6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D73987" w:rsidRPr="00744D67">
        <w:rPr>
          <w:rFonts w:ascii="PT Astra Serif" w:hAnsi="PT Astra Serif" w:cs="Times New Roman"/>
          <w:b/>
          <w:sz w:val="28"/>
          <w:szCs w:val="28"/>
        </w:rPr>
        <w:t>3998</w:t>
      </w:r>
      <w:r w:rsidR="00C01D04" w:rsidRPr="00744D67">
        <w:rPr>
          <w:rFonts w:ascii="PT Astra Serif" w:hAnsi="PT Astra Serif" w:cs="Times New Roman"/>
          <w:b/>
          <w:sz w:val="28"/>
          <w:szCs w:val="28"/>
        </w:rPr>
        <w:t>)</w:t>
      </w:r>
      <w:r w:rsidR="00B87E8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>обращени</w:t>
      </w:r>
      <w:r w:rsidR="00D73987">
        <w:rPr>
          <w:rFonts w:ascii="PT Astra Serif" w:hAnsi="PT Astra Serif" w:cs="Times New Roman"/>
          <w:sz w:val="28"/>
          <w:szCs w:val="28"/>
        </w:rPr>
        <w:t>й</w:t>
      </w:r>
      <w:r w:rsidR="00B87E89">
        <w:rPr>
          <w:rFonts w:ascii="PT Astra Serif" w:hAnsi="PT Astra Serif" w:cs="Times New Roman"/>
          <w:sz w:val="28"/>
          <w:szCs w:val="28"/>
        </w:rPr>
        <w:t xml:space="preserve"> </w:t>
      </w:r>
      <w:r w:rsidR="006341D0">
        <w:rPr>
          <w:rFonts w:ascii="PT Astra Serif" w:hAnsi="PT Astra Serif" w:cs="Times New Roman"/>
          <w:sz w:val="28"/>
          <w:szCs w:val="28"/>
        </w:rPr>
        <w:t xml:space="preserve"> граждан и организаций.</w:t>
      </w:r>
      <w:r w:rsidR="002F0D82">
        <w:rPr>
          <w:rFonts w:ascii="PT Astra Serif" w:hAnsi="PT Astra Serif" w:cs="Times New Roman"/>
          <w:sz w:val="28"/>
          <w:szCs w:val="28"/>
        </w:rPr>
        <w:t xml:space="preserve"> </w:t>
      </w:r>
      <w:r w:rsidR="00326403">
        <w:rPr>
          <w:rFonts w:ascii="PT Astra Serif" w:hAnsi="PT Astra Serif" w:cs="Times New Roman"/>
          <w:sz w:val="28"/>
          <w:szCs w:val="28"/>
        </w:rPr>
        <w:t xml:space="preserve">Со </w:t>
      </w:r>
      <w:r w:rsidR="00744D67">
        <w:rPr>
          <w:rFonts w:ascii="PT Astra Serif" w:hAnsi="PT Astra Serif" w:cs="Times New Roman"/>
          <w:sz w:val="28"/>
          <w:szCs w:val="28"/>
        </w:rPr>
        <w:t xml:space="preserve"> </w:t>
      </w:r>
      <w:r w:rsidR="00326403">
        <w:rPr>
          <w:rFonts w:ascii="PT Astra Serif" w:hAnsi="PT Astra Serif" w:cs="Times New Roman"/>
          <w:sz w:val="28"/>
          <w:szCs w:val="28"/>
        </w:rPr>
        <w:t xml:space="preserve">второго </w:t>
      </w:r>
      <w:r w:rsidR="00D73987">
        <w:rPr>
          <w:rFonts w:ascii="PT Astra Serif" w:hAnsi="PT Astra Serif" w:cs="Times New Roman"/>
          <w:sz w:val="28"/>
          <w:szCs w:val="28"/>
        </w:rPr>
        <w:t>квартала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 20</w:t>
      </w:r>
      <w:r w:rsidR="00C01D04">
        <w:rPr>
          <w:rFonts w:ascii="PT Astra Serif" w:hAnsi="PT Astra Serif" w:cs="Times New Roman"/>
          <w:sz w:val="28"/>
          <w:szCs w:val="28"/>
        </w:rPr>
        <w:t>20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г. 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D73987">
        <w:rPr>
          <w:rFonts w:ascii="PT Astra Serif" w:hAnsi="PT Astra Serif" w:cs="Times New Roman"/>
          <w:sz w:val="28"/>
          <w:szCs w:val="28"/>
        </w:rPr>
        <w:t xml:space="preserve">отмечается </w:t>
      </w:r>
      <w:r w:rsidR="00C01D04">
        <w:rPr>
          <w:rFonts w:ascii="PT Astra Serif" w:hAnsi="PT Astra Serif" w:cs="Times New Roman"/>
          <w:sz w:val="28"/>
          <w:szCs w:val="28"/>
        </w:rPr>
        <w:t>повышение</w:t>
      </w:r>
      <w:r w:rsidR="00D73987">
        <w:rPr>
          <w:rFonts w:ascii="PT Astra Serif" w:hAnsi="PT Astra Serif" w:cs="Times New Roman"/>
          <w:sz w:val="28"/>
          <w:szCs w:val="28"/>
        </w:rPr>
        <w:t xml:space="preserve"> активности граждан</w:t>
      </w:r>
      <w:r w:rsidR="00622279">
        <w:rPr>
          <w:rFonts w:ascii="PT Astra Serif" w:hAnsi="PT Astra Serif" w:cs="Times New Roman"/>
          <w:sz w:val="28"/>
          <w:szCs w:val="28"/>
        </w:rPr>
        <w:t xml:space="preserve">, </w:t>
      </w:r>
      <w:r w:rsidR="00326403">
        <w:rPr>
          <w:rFonts w:ascii="PT Astra Serif" w:hAnsi="PT Astra Serif" w:cs="Times New Roman"/>
          <w:sz w:val="28"/>
          <w:szCs w:val="28"/>
        </w:rPr>
        <w:t xml:space="preserve"> </w:t>
      </w:r>
      <w:r w:rsidR="00622279">
        <w:rPr>
          <w:rFonts w:ascii="PT Astra Serif" w:hAnsi="PT Astra Serif" w:cs="Times New Roman"/>
          <w:sz w:val="28"/>
          <w:szCs w:val="28"/>
        </w:rPr>
        <w:t>э</w:t>
      </w:r>
      <w:r w:rsidR="00D73987">
        <w:rPr>
          <w:rFonts w:ascii="PT Astra Serif" w:hAnsi="PT Astra Serif" w:cs="Times New Roman"/>
          <w:sz w:val="28"/>
          <w:szCs w:val="28"/>
        </w:rPr>
        <w:t xml:space="preserve">то объясняется тем, что </w:t>
      </w:r>
      <w:r w:rsidR="00843F4E">
        <w:rPr>
          <w:rFonts w:ascii="PT Astra Serif" w:hAnsi="PT Astra Serif" w:cs="Times New Roman"/>
          <w:sz w:val="28"/>
          <w:szCs w:val="28"/>
        </w:rPr>
        <w:t xml:space="preserve">на </w:t>
      </w:r>
      <w:r w:rsidR="006154AC">
        <w:rPr>
          <w:rFonts w:ascii="PT Astra Serif" w:hAnsi="PT Astra Serif" w:cs="Times New Roman"/>
          <w:sz w:val="28"/>
          <w:szCs w:val="28"/>
        </w:rPr>
        <w:t>Министерство</w:t>
      </w:r>
      <w:r w:rsidR="00843F4E">
        <w:rPr>
          <w:rFonts w:ascii="PT Astra Serif" w:hAnsi="PT Astra Serif" w:cs="Times New Roman"/>
          <w:sz w:val="28"/>
          <w:szCs w:val="28"/>
        </w:rPr>
        <w:t xml:space="preserve"> возложено </w:t>
      </w:r>
      <w:r w:rsidR="00744D67">
        <w:rPr>
          <w:rFonts w:ascii="PT Astra Serif" w:hAnsi="PT Astra Serif" w:cs="Times New Roman"/>
          <w:sz w:val="28"/>
          <w:szCs w:val="28"/>
        </w:rPr>
        <w:t>оказание</w:t>
      </w:r>
      <w:r w:rsidR="00843F4E">
        <w:rPr>
          <w:rFonts w:ascii="PT Astra Serif" w:hAnsi="PT Astra Serif" w:cs="Times New Roman"/>
          <w:sz w:val="28"/>
          <w:szCs w:val="28"/>
        </w:rPr>
        <w:t xml:space="preserve"> </w:t>
      </w:r>
      <w:r w:rsidR="00326403">
        <w:rPr>
          <w:rFonts w:ascii="PT Astra Serif" w:hAnsi="PT Astra Serif" w:cs="Times New Roman"/>
          <w:sz w:val="28"/>
          <w:szCs w:val="28"/>
        </w:rPr>
        <w:t xml:space="preserve">новых </w:t>
      </w:r>
      <w:r w:rsidR="00744D67">
        <w:rPr>
          <w:rFonts w:ascii="PT Astra Serif" w:hAnsi="PT Astra Serif" w:cs="Times New Roman"/>
          <w:sz w:val="28"/>
          <w:szCs w:val="28"/>
        </w:rPr>
        <w:t xml:space="preserve">государственных </w:t>
      </w:r>
      <w:r w:rsidR="00843F4E">
        <w:rPr>
          <w:rFonts w:ascii="PT Astra Serif" w:hAnsi="PT Astra Serif" w:cs="Times New Roman"/>
          <w:sz w:val="28"/>
          <w:szCs w:val="28"/>
        </w:rPr>
        <w:t>услуг в связи со сложной</w:t>
      </w:r>
      <w:r w:rsidR="00971B65">
        <w:rPr>
          <w:rFonts w:ascii="PT Astra Serif" w:hAnsi="PT Astra Serif" w:cs="Times New Roman"/>
          <w:sz w:val="28"/>
          <w:szCs w:val="28"/>
        </w:rPr>
        <w:t xml:space="preserve"> эпидемиологической обстановкой.</w:t>
      </w:r>
      <w:r w:rsidR="006154AC">
        <w:rPr>
          <w:rFonts w:ascii="PT Astra Serif" w:hAnsi="PT Astra Serif" w:cs="Times New Roman"/>
          <w:sz w:val="28"/>
          <w:szCs w:val="28"/>
        </w:rPr>
        <w:t xml:space="preserve"> </w:t>
      </w:r>
      <w:r w:rsidR="00971B65">
        <w:rPr>
          <w:rFonts w:ascii="PT Astra Serif" w:hAnsi="PT Astra Serif" w:cs="Times New Roman"/>
          <w:sz w:val="28"/>
          <w:szCs w:val="28"/>
        </w:rPr>
        <w:t>В</w:t>
      </w:r>
      <w:r w:rsidR="006154AC">
        <w:rPr>
          <w:rFonts w:ascii="PT Astra Serif" w:hAnsi="PT Astra Serif" w:cs="Times New Roman"/>
          <w:sz w:val="28"/>
          <w:szCs w:val="28"/>
        </w:rPr>
        <w:t xml:space="preserve"> течени</w:t>
      </w:r>
      <w:r w:rsidR="003140E5">
        <w:rPr>
          <w:rFonts w:ascii="PT Astra Serif" w:hAnsi="PT Astra Serif" w:cs="Times New Roman"/>
          <w:sz w:val="28"/>
          <w:szCs w:val="28"/>
        </w:rPr>
        <w:t>е</w:t>
      </w:r>
      <w:r w:rsidR="002214AD">
        <w:rPr>
          <w:rFonts w:ascii="PT Astra Serif" w:hAnsi="PT Astra Serif" w:cs="Times New Roman"/>
          <w:sz w:val="28"/>
          <w:szCs w:val="28"/>
        </w:rPr>
        <w:t xml:space="preserve">  </w:t>
      </w:r>
      <w:r w:rsidR="00622279">
        <w:rPr>
          <w:rFonts w:ascii="PT Astra Serif" w:hAnsi="PT Astra Serif" w:cs="Times New Roman"/>
          <w:sz w:val="28"/>
          <w:szCs w:val="28"/>
        </w:rPr>
        <w:t>всего года проводилась работа по разъяснению норм и положений нормативных актов</w:t>
      </w:r>
      <w:r w:rsidR="00A05EDB">
        <w:rPr>
          <w:rFonts w:ascii="PT Astra Serif" w:hAnsi="PT Astra Serif" w:cs="Times New Roman"/>
          <w:sz w:val="28"/>
          <w:szCs w:val="28"/>
        </w:rPr>
        <w:t xml:space="preserve"> населению</w:t>
      </w:r>
      <w:r w:rsidR="006154AC">
        <w:rPr>
          <w:rFonts w:ascii="PT Astra Serif" w:hAnsi="PT Astra Serif" w:cs="Times New Roman"/>
          <w:sz w:val="28"/>
          <w:szCs w:val="28"/>
        </w:rPr>
        <w:t xml:space="preserve">, </w:t>
      </w:r>
      <w:r w:rsidR="00971B65">
        <w:rPr>
          <w:rFonts w:ascii="PT Astra Serif" w:hAnsi="PT Astra Serif" w:cs="Times New Roman"/>
          <w:sz w:val="28"/>
          <w:szCs w:val="28"/>
        </w:rPr>
        <w:t xml:space="preserve">это </w:t>
      </w:r>
      <w:r w:rsidR="00622279">
        <w:rPr>
          <w:rFonts w:ascii="PT Astra Serif" w:hAnsi="PT Astra Serif" w:cs="Times New Roman"/>
          <w:sz w:val="28"/>
          <w:szCs w:val="28"/>
        </w:rPr>
        <w:t>повлияло на снижение социальной напряженности в обществе и количественному снижению обращений граждан</w:t>
      </w:r>
      <w:r w:rsidR="00971B65">
        <w:rPr>
          <w:rFonts w:ascii="PT Astra Serif" w:hAnsi="PT Astra Serif" w:cs="Times New Roman"/>
          <w:sz w:val="28"/>
          <w:szCs w:val="28"/>
        </w:rPr>
        <w:t xml:space="preserve"> </w:t>
      </w:r>
      <w:r w:rsidR="00807464">
        <w:rPr>
          <w:rFonts w:ascii="PT Astra Serif" w:hAnsi="PT Astra Serif" w:cs="Times New Roman"/>
          <w:sz w:val="28"/>
          <w:szCs w:val="28"/>
        </w:rPr>
        <w:t xml:space="preserve">в четвертом квартале </w:t>
      </w:r>
      <w:r w:rsidR="00971B65">
        <w:rPr>
          <w:rFonts w:ascii="PT Astra Serif" w:hAnsi="PT Astra Serif" w:cs="Times New Roman"/>
          <w:sz w:val="28"/>
          <w:szCs w:val="28"/>
        </w:rPr>
        <w:t>2020 года.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F0567" w:rsidRDefault="00C74EC6" w:rsidP="003961B1">
      <w:pPr>
        <w:pStyle w:val="a5"/>
        <w:spacing w:after="0" w:line="240" w:lineRule="auto"/>
        <w:ind w:left="0"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 источнику поступления обращения распределились следующим образом:</w:t>
      </w:r>
    </w:p>
    <w:p w:rsidR="003961B1" w:rsidRDefault="003961B1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485"/>
        <w:gridCol w:w="2434"/>
        <w:gridCol w:w="1145"/>
        <w:gridCol w:w="1145"/>
        <w:gridCol w:w="1145"/>
        <w:gridCol w:w="1145"/>
        <w:gridCol w:w="791"/>
        <w:gridCol w:w="791"/>
        <w:gridCol w:w="1659"/>
      </w:tblGrid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435" w:type="dxa"/>
          </w:tcPr>
          <w:p w:rsidR="0011342B" w:rsidRDefault="0011342B" w:rsidP="00C74EC6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52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 квартал</w:t>
            </w:r>
          </w:p>
        </w:tc>
        <w:tc>
          <w:tcPr>
            <w:tcW w:w="1253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961" w:type="dxa"/>
          </w:tcPr>
          <w:p w:rsidR="0011342B" w:rsidRDefault="0011342B" w:rsidP="0011342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953" w:type="dxa"/>
          </w:tcPr>
          <w:p w:rsidR="0011342B" w:rsidRDefault="0011342B" w:rsidP="0011342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879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Отклонения</w:t>
            </w:r>
          </w:p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(+,-)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Правительство Ульяновской области</w:t>
            </w:r>
          </w:p>
        </w:tc>
        <w:tc>
          <w:tcPr>
            <w:tcW w:w="1252" w:type="dxa"/>
          </w:tcPr>
          <w:p w:rsidR="0011342B" w:rsidRDefault="0011342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573</w:t>
            </w:r>
          </w:p>
        </w:tc>
        <w:tc>
          <w:tcPr>
            <w:tcW w:w="1253" w:type="dxa"/>
          </w:tcPr>
          <w:p w:rsidR="0011342B" w:rsidRDefault="0011342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912</w:t>
            </w:r>
          </w:p>
        </w:tc>
        <w:tc>
          <w:tcPr>
            <w:tcW w:w="1253" w:type="dxa"/>
          </w:tcPr>
          <w:p w:rsidR="0011342B" w:rsidRDefault="0011342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813</w:t>
            </w:r>
          </w:p>
        </w:tc>
        <w:tc>
          <w:tcPr>
            <w:tcW w:w="1253" w:type="dxa"/>
          </w:tcPr>
          <w:p w:rsidR="0011342B" w:rsidRDefault="0011342B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606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2331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1896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+435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11342B" w:rsidRDefault="0011342B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Поступившие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на имя руководителя ИОГВ</w:t>
            </w:r>
          </w:p>
        </w:tc>
        <w:tc>
          <w:tcPr>
            <w:tcW w:w="1252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438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595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738</w:t>
            </w:r>
          </w:p>
        </w:tc>
        <w:tc>
          <w:tcPr>
            <w:tcW w:w="1253" w:type="dxa"/>
          </w:tcPr>
          <w:p w:rsidR="0011342B" w:rsidRDefault="0011342B" w:rsidP="007F4D5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640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2411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2061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+350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Коллективные обращения</w:t>
            </w:r>
          </w:p>
        </w:tc>
        <w:tc>
          <w:tcPr>
            <w:tcW w:w="1252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+18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435" w:type="dxa"/>
          </w:tcPr>
          <w:p w:rsidR="0011342B" w:rsidRDefault="0011342B" w:rsidP="0046374C">
            <w:pPr>
              <w:pStyle w:val="a5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оступивших  из  вышестоящих  инстанций  с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указанием 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>основной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 тематики (за исключением количества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переадресованных   из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>Правительства  Ульяновской области)</w:t>
            </w:r>
            <w:proofErr w:type="gramEnd"/>
          </w:p>
        </w:tc>
        <w:tc>
          <w:tcPr>
            <w:tcW w:w="1252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382</w:t>
            </w:r>
          </w:p>
        </w:tc>
        <w:tc>
          <w:tcPr>
            <w:tcW w:w="1253" w:type="dxa"/>
          </w:tcPr>
          <w:p w:rsidR="0011342B" w:rsidRDefault="0011342B" w:rsidP="007F4D5B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349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312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1263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230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+1033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612EB5">
              <w:rPr>
                <w:rFonts w:ascii="PT Astra Serif" w:hAnsi="PT Astra Serif" w:cs="Times New Roman"/>
                <w:sz w:val="28"/>
                <w:szCs w:val="28"/>
              </w:rPr>
              <w:t xml:space="preserve">ичных приемов руководителя </w:t>
            </w:r>
            <w:r w:rsidRPr="00D072F2">
              <w:rPr>
                <w:rFonts w:ascii="PT Astra Serif" w:hAnsi="PT Astra Serif" w:cs="Times New Roman"/>
                <w:sz w:val="28"/>
                <w:szCs w:val="28"/>
              </w:rPr>
              <w:t>ИОГВ</w:t>
            </w:r>
          </w:p>
        </w:tc>
        <w:tc>
          <w:tcPr>
            <w:tcW w:w="1252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+28</w:t>
            </w:r>
          </w:p>
        </w:tc>
      </w:tr>
      <w:tr w:rsidR="0011342B" w:rsidTr="0011342B">
        <w:tc>
          <w:tcPr>
            <w:tcW w:w="50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975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1507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1551</w:t>
            </w:r>
          </w:p>
        </w:tc>
        <w:tc>
          <w:tcPr>
            <w:tcW w:w="12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1246</w:t>
            </w:r>
          </w:p>
        </w:tc>
        <w:tc>
          <w:tcPr>
            <w:tcW w:w="961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5279</w:t>
            </w:r>
          </w:p>
        </w:tc>
        <w:tc>
          <w:tcPr>
            <w:tcW w:w="953" w:type="dxa"/>
          </w:tcPr>
          <w:p w:rsidR="0011342B" w:rsidRDefault="0011342B" w:rsidP="00612EB5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3998</w:t>
            </w:r>
          </w:p>
        </w:tc>
        <w:tc>
          <w:tcPr>
            <w:tcW w:w="879" w:type="dxa"/>
          </w:tcPr>
          <w:p w:rsidR="0011342B" w:rsidRDefault="0011342B" w:rsidP="0011342B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+1281</w:t>
            </w:r>
          </w:p>
        </w:tc>
      </w:tr>
    </w:tbl>
    <w:p w:rsidR="00C74EC6" w:rsidRPr="006341D0" w:rsidRDefault="00C74EC6" w:rsidP="00612EB5">
      <w:pPr>
        <w:pStyle w:val="a5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D6883" w:rsidRPr="00F57EB7" w:rsidRDefault="00FD6883" w:rsidP="00622279">
      <w:pPr>
        <w:widowControl w:val="0"/>
        <w:tabs>
          <w:tab w:val="left" w:pos="900"/>
        </w:tabs>
        <w:spacing w:after="0"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szCs w:val="28"/>
        </w:rPr>
        <w:tab/>
      </w:r>
      <w:r w:rsidRPr="00F57EB7">
        <w:rPr>
          <w:rFonts w:ascii="PT Astra Serif" w:hAnsi="PT Astra Serif"/>
          <w:sz w:val="28"/>
          <w:szCs w:val="28"/>
        </w:rPr>
        <w:t xml:space="preserve">Соотношение количества обращений, направленных жителями Ульяновской области в </w:t>
      </w:r>
      <w:r w:rsidR="00622279">
        <w:rPr>
          <w:rFonts w:ascii="PT Astra Serif" w:hAnsi="PT Astra Serif"/>
          <w:sz w:val="28"/>
          <w:szCs w:val="28"/>
        </w:rPr>
        <w:t>20</w:t>
      </w:r>
      <w:r w:rsidR="004A6E92">
        <w:rPr>
          <w:rFonts w:ascii="PT Astra Serif" w:hAnsi="PT Astra Serif"/>
          <w:sz w:val="28"/>
          <w:szCs w:val="28"/>
        </w:rPr>
        <w:t>20</w:t>
      </w:r>
      <w:r w:rsidR="00622279">
        <w:rPr>
          <w:rFonts w:ascii="PT Astra Serif" w:hAnsi="PT Astra Serif"/>
          <w:sz w:val="28"/>
          <w:szCs w:val="28"/>
        </w:rPr>
        <w:t xml:space="preserve"> </w:t>
      </w:r>
      <w:r w:rsidR="00A05EDB">
        <w:rPr>
          <w:rFonts w:ascii="PT Astra Serif" w:hAnsi="PT Astra Serif"/>
          <w:sz w:val="28"/>
          <w:szCs w:val="28"/>
        </w:rPr>
        <w:t>году по кварталам</w:t>
      </w:r>
      <w:r w:rsidR="003961B1">
        <w:rPr>
          <w:rFonts w:ascii="PT Astra Serif" w:hAnsi="PT Astra Serif"/>
          <w:sz w:val="28"/>
          <w:szCs w:val="28"/>
        </w:rPr>
        <w:t xml:space="preserve">  </w:t>
      </w:r>
      <w:r w:rsidR="00F57EB7" w:rsidRPr="00F57EB7">
        <w:rPr>
          <w:rFonts w:ascii="PT Astra Serif" w:hAnsi="PT Astra Serif"/>
          <w:sz w:val="28"/>
          <w:szCs w:val="28"/>
        </w:rPr>
        <w:t>№</w:t>
      </w:r>
      <w:r w:rsidRPr="00F57EB7">
        <w:rPr>
          <w:rFonts w:ascii="PT Astra Serif" w:hAnsi="PT Astra Serif"/>
          <w:sz w:val="28"/>
          <w:szCs w:val="28"/>
        </w:rPr>
        <w:t xml:space="preserve"> 1 «Соотношение поступивших обращений из разных инстанций».</w:t>
      </w:r>
      <w:r w:rsidR="00E3097B">
        <w:rPr>
          <w:rFonts w:ascii="PT Astra Serif" w:hAnsi="PT Astra Serif"/>
          <w:sz w:val="28"/>
          <w:szCs w:val="28"/>
        </w:rPr>
        <w:t xml:space="preserve"> </w:t>
      </w:r>
    </w:p>
    <w:p w:rsidR="001F6E88" w:rsidRPr="00AA29D4" w:rsidRDefault="00FD6883" w:rsidP="00FD688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t xml:space="preserve"> </w:t>
      </w:r>
    </w:p>
    <w:p w:rsidR="003C0AB3" w:rsidRDefault="008A4643" w:rsidP="008A4643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/>
          <w:noProof/>
          <w:lang w:eastAsia="ru-RU"/>
        </w:rPr>
        <w:drawing>
          <wp:inline distT="0" distB="0" distL="0" distR="0" wp14:anchorId="7FF34556" wp14:editId="32B7EE60">
            <wp:extent cx="6686550" cy="40862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2146" w:rsidRDefault="001F2146" w:rsidP="008D5DD1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72B77" w:rsidRDefault="008D5DD1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Причины обращений граждан многогранны, они носят </w:t>
      </w:r>
      <w:r w:rsidR="00A05EDB">
        <w:rPr>
          <w:rFonts w:ascii="PT Astra Serif" w:hAnsi="PT Astra Serif" w:cs="Times New Roman"/>
          <w:sz w:val="28"/>
          <w:szCs w:val="28"/>
        </w:rPr>
        <w:t xml:space="preserve">как общий, так и частный характер. </w:t>
      </w:r>
      <w:r w:rsidR="006154AC">
        <w:rPr>
          <w:rFonts w:ascii="PT Astra Serif" w:hAnsi="PT Astra Serif" w:cs="Times New Roman"/>
          <w:sz w:val="28"/>
          <w:szCs w:val="28"/>
        </w:rPr>
        <w:t>Содержание обращений находи</w:t>
      </w:r>
      <w:r>
        <w:rPr>
          <w:rFonts w:ascii="PT Astra Serif" w:hAnsi="PT Astra Serif" w:cs="Times New Roman"/>
          <w:sz w:val="28"/>
          <w:szCs w:val="28"/>
        </w:rPr>
        <w:t>тся в прямой зависимости от социально-экономического положения в стране, отражающегося на уровне жизни всего населения,  и особенно тех людей, которые остро нуждаются в социальной поддержке государства</w:t>
      </w:r>
      <w:r w:rsidR="002214AD">
        <w:rPr>
          <w:rFonts w:ascii="PT Astra Serif" w:hAnsi="PT Astra Serif" w:cs="Times New Roman"/>
          <w:sz w:val="28"/>
          <w:szCs w:val="28"/>
        </w:rPr>
        <w:t>.</w:t>
      </w:r>
    </w:p>
    <w:p w:rsidR="00990F80" w:rsidRDefault="00990F80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282076" w:rsidRDefault="00282076" w:rsidP="00C62268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04A07" w:rsidRDefault="00304A07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92A23" w:rsidRDefault="00092A23" w:rsidP="00990F8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72B77" w:rsidRDefault="00172B77" w:rsidP="00172B77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2B77">
        <w:rPr>
          <w:rFonts w:ascii="PT Astra Serif" w:hAnsi="PT Astra Serif" w:cs="Times New Roman"/>
          <w:b/>
          <w:sz w:val="28"/>
          <w:szCs w:val="28"/>
        </w:rPr>
        <w:t>Диаграмма №2</w:t>
      </w:r>
    </w:p>
    <w:p w:rsidR="00172B77" w:rsidRPr="00172B77" w:rsidRDefault="00172B77" w:rsidP="00172B77">
      <w:pPr>
        <w:spacing w:after="0" w:line="240" w:lineRule="auto"/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72B77">
        <w:rPr>
          <w:rFonts w:ascii="PT Astra Serif" w:hAnsi="PT Astra Serif" w:cs="Times New Roman"/>
          <w:b/>
          <w:sz w:val="28"/>
          <w:szCs w:val="28"/>
        </w:rPr>
        <w:lastRenderedPageBreak/>
        <w:t>«Соотношение поступивших обращений за 2019-2020 г.»</w:t>
      </w:r>
    </w:p>
    <w:p w:rsidR="005A477F" w:rsidRDefault="005A477F" w:rsidP="007B7B6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A4643" w:rsidRDefault="00172B77" w:rsidP="00A74CA8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129B367E" wp14:editId="67863A5E">
            <wp:extent cx="6667500" cy="31432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71C2" w:rsidRPr="003049BD" w:rsidRDefault="000E71C2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B0FF3" w:rsidRPr="00021F6A" w:rsidRDefault="006154AC" w:rsidP="00021F6A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021F6A">
        <w:rPr>
          <w:rFonts w:ascii="PT Astra Serif" w:hAnsi="PT Astra Serif" w:cs="Times New Roman"/>
          <w:b/>
          <w:sz w:val="28"/>
          <w:szCs w:val="28"/>
        </w:rPr>
        <w:t>Обращения по</w:t>
      </w:r>
      <w:r w:rsidR="00AB0FF3" w:rsidRPr="00021F6A">
        <w:rPr>
          <w:rFonts w:ascii="PT Astra Serif" w:hAnsi="PT Astra Serif" w:cs="Times New Roman"/>
          <w:b/>
          <w:sz w:val="28"/>
          <w:szCs w:val="28"/>
        </w:rPr>
        <w:t xml:space="preserve"> вопросам социального блока</w:t>
      </w:r>
      <w:r w:rsidR="00B53A54" w:rsidRPr="00021F6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21F6A">
        <w:rPr>
          <w:rFonts w:ascii="PT Astra Serif" w:hAnsi="PT Astra Serif" w:cs="Times New Roman"/>
          <w:sz w:val="28"/>
          <w:szCs w:val="28"/>
        </w:rPr>
        <w:t>распределили</w:t>
      </w:r>
      <w:r w:rsidR="00084C24" w:rsidRPr="00021F6A">
        <w:rPr>
          <w:rFonts w:ascii="PT Astra Serif" w:hAnsi="PT Astra Serif" w:cs="Times New Roman"/>
          <w:sz w:val="28"/>
          <w:szCs w:val="28"/>
        </w:rPr>
        <w:t>сь следующим образом</w:t>
      </w:r>
      <w:r w:rsidR="008A4643" w:rsidRPr="00021F6A">
        <w:rPr>
          <w:rFonts w:ascii="PT Astra Serif" w:hAnsi="PT Astra Serif" w:cs="Times New Roman"/>
          <w:sz w:val="28"/>
          <w:szCs w:val="28"/>
        </w:rPr>
        <w:t>:</w:t>
      </w:r>
    </w:p>
    <w:p w:rsidR="00622279" w:rsidRPr="003049BD" w:rsidRDefault="00622279" w:rsidP="00622279">
      <w:pPr>
        <w:pStyle w:val="a5"/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701"/>
        <w:gridCol w:w="2072"/>
        <w:gridCol w:w="1219"/>
        <w:gridCol w:w="1255"/>
        <w:gridCol w:w="1249"/>
        <w:gridCol w:w="1203"/>
        <w:gridCol w:w="1230"/>
        <w:gridCol w:w="874"/>
        <w:gridCol w:w="936"/>
      </w:tblGrid>
      <w:tr w:rsidR="00C55620" w:rsidTr="00C55620">
        <w:tc>
          <w:tcPr>
            <w:tcW w:w="742" w:type="dxa"/>
          </w:tcPr>
          <w:p w:rsidR="00C55620" w:rsidRDefault="00C55620" w:rsidP="00C55620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5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 квартал</w:t>
            </w:r>
          </w:p>
        </w:tc>
        <w:tc>
          <w:tcPr>
            <w:tcW w:w="1277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квартал</w:t>
            </w:r>
          </w:p>
        </w:tc>
        <w:tc>
          <w:tcPr>
            <w:tcW w:w="1270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квартал</w:t>
            </w:r>
          </w:p>
        </w:tc>
        <w:tc>
          <w:tcPr>
            <w:tcW w:w="1215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 квартал</w:t>
            </w:r>
          </w:p>
        </w:tc>
        <w:tc>
          <w:tcPr>
            <w:tcW w:w="1279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2020г.</w:t>
            </w:r>
          </w:p>
        </w:tc>
        <w:tc>
          <w:tcPr>
            <w:tcW w:w="892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2019</w:t>
            </w:r>
          </w:p>
        </w:tc>
        <w:tc>
          <w:tcPr>
            <w:tcW w:w="738" w:type="dxa"/>
          </w:tcPr>
          <w:p w:rsidR="00C55620" w:rsidRDefault="00C55620" w:rsidP="00971B65">
            <w:pPr>
              <w:pStyle w:val="a5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(+,-)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467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913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(60%)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1130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(73%)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80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(65%)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3318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(63%)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1591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+1727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(24%)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412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(27%)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(14%)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21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8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(17%)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1072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(20%)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997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+75</w:t>
            </w:r>
          </w:p>
        </w:tc>
      </w:tr>
      <w:tr w:rsidR="00C55620" w:rsidTr="00C55620">
        <w:trPr>
          <w:trHeight w:val="820"/>
        </w:trPr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124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+13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(3%)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9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(6%)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222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(4%)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404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-182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128</w:t>
            </w:r>
          </w:p>
          <w:p w:rsidR="00C55620" w:rsidRDefault="00C55620" w:rsidP="00814C9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(3%)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-23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(5%)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(4%)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(6%)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314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(6%)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-136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Default="00C55620" w:rsidP="00B42154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(0%)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C55620" w:rsidTr="00C55620">
        <w:tc>
          <w:tcPr>
            <w:tcW w:w="742" w:type="dxa"/>
          </w:tcPr>
          <w:p w:rsidR="00C55620" w:rsidRPr="00D9333B" w:rsidRDefault="00C55620" w:rsidP="00D9333B">
            <w:pPr>
              <w:pStyle w:val="a5"/>
              <w:numPr>
                <w:ilvl w:val="0"/>
                <w:numId w:val="5"/>
              </w:num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:rsidR="00C55620" w:rsidRPr="00F8743E" w:rsidRDefault="00C55620" w:rsidP="00B4215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8743E">
              <w:rPr>
                <w:rFonts w:ascii="PT Astra Serif" w:hAnsi="PT Astra Serif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1235" w:type="dxa"/>
          </w:tcPr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55620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77" w:type="dxa"/>
          </w:tcPr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C55620" w:rsidRPr="001D5118" w:rsidRDefault="00C55620" w:rsidP="00971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(1%)</w:t>
            </w:r>
          </w:p>
        </w:tc>
        <w:tc>
          <w:tcPr>
            <w:tcW w:w="1270" w:type="dxa"/>
          </w:tcPr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C55620" w:rsidRPr="00466725" w:rsidRDefault="00C55620" w:rsidP="00971B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725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15" w:type="dxa"/>
          </w:tcPr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3</w:t>
            </w:r>
          </w:p>
          <w:p w:rsidR="00C55620" w:rsidRPr="00843F4E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43F4E">
              <w:rPr>
                <w:rFonts w:ascii="PT Astra Serif" w:hAnsi="PT Astra Serif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1279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79</w:t>
            </w:r>
          </w:p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(2%) </w:t>
            </w:r>
          </w:p>
        </w:tc>
        <w:tc>
          <w:tcPr>
            <w:tcW w:w="892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262</w:t>
            </w:r>
          </w:p>
        </w:tc>
        <w:tc>
          <w:tcPr>
            <w:tcW w:w="738" w:type="dxa"/>
          </w:tcPr>
          <w:p w:rsidR="00C55620" w:rsidRDefault="00C55620" w:rsidP="00971B65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-183</w:t>
            </w:r>
          </w:p>
        </w:tc>
      </w:tr>
    </w:tbl>
    <w:p w:rsidR="00AB0FF3" w:rsidRPr="003049BD" w:rsidRDefault="00AB0FF3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2332B" w:rsidRPr="00F57EB7" w:rsidRDefault="00F57EB7" w:rsidP="00B4215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57EB7">
        <w:rPr>
          <w:rFonts w:ascii="PT Astra Serif" w:hAnsi="PT Astra Serif" w:cs="Times New Roman"/>
          <w:sz w:val="28"/>
          <w:szCs w:val="28"/>
        </w:rPr>
        <w:t>Соотношение количества обращений по блокам вопросов в процентном соотношении</w:t>
      </w:r>
      <w:r w:rsidR="00EB6013">
        <w:rPr>
          <w:rFonts w:ascii="PT Astra Serif" w:hAnsi="PT Astra Serif" w:cs="Times New Roman"/>
          <w:sz w:val="28"/>
          <w:szCs w:val="28"/>
        </w:rPr>
        <w:t xml:space="preserve"> </w:t>
      </w:r>
      <w:r w:rsidR="001E6C24">
        <w:rPr>
          <w:rFonts w:ascii="PT Astra Serif" w:hAnsi="PT Astra Serif" w:cs="Times New Roman"/>
          <w:sz w:val="28"/>
          <w:szCs w:val="28"/>
        </w:rPr>
        <w:t>за 20</w:t>
      </w:r>
      <w:r w:rsidR="00843F4E">
        <w:rPr>
          <w:rFonts w:ascii="PT Astra Serif" w:hAnsi="PT Astra Serif" w:cs="Times New Roman"/>
          <w:sz w:val="28"/>
          <w:szCs w:val="28"/>
        </w:rPr>
        <w:t>20</w:t>
      </w:r>
      <w:r w:rsidR="001E6C24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 год</w:t>
      </w:r>
      <w:r w:rsidR="001E6C24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 отображено в диаграмме </w:t>
      </w:r>
      <w:r w:rsidR="00D62D42">
        <w:rPr>
          <w:rFonts w:ascii="PT Astra Serif" w:hAnsi="PT Astra Serif" w:cs="Times New Roman"/>
          <w:sz w:val="28"/>
          <w:szCs w:val="28"/>
        </w:rPr>
        <w:t xml:space="preserve"> </w:t>
      </w:r>
      <w:r w:rsidRPr="00F57EB7">
        <w:rPr>
          <w:rFonts w:ascii="PT Astra Serif" w:hAnsi="PT Astra Serif" w:cs="Times New Roman"/>
          <w:sz w:val="28"/>
          <w:szCs w:val="28"/>
        </w:rPr>
        <w:t xml:space="preserve">№2«Соотношение количества </w:t>
      </w:r>
      <w:r w:rsidRPr="00F57EB7">
        <w:rPr>
          <w:rFonts w:ascii="PT Astra Serif" w:hAnsi="PT Astra Serif" w:cs="Times New Roman"/>
          <w:sz w:val="28"/>
          <w:szCs w:val="28"/>
        </w:rPr>
        <w:lastRenderedPageBreak/>
        <w:t>обращений по блокам вопросов</w:t>
      </w:r>
      <w:r w:rsidR="00EB6013">
        <w:rPr>
          <w:rFonts w:ascii="PT Astra Serif" w:hAnsi="PT Astra Serif" w:cs="Times New Roman"/>
          <w:sz w:val="28"/>
          <w:szCs w:val="28"/>
        </w:rPr>
        <w:t xml:space="preserve"> за </w:t>
      </w:r>
      <w:r w:rsidR="001E6C24">
        <w:rPr>
          <w:rFonts w:ascii="PT Astra Serif" w:hAnsi="PT Astra Serif" w:cs="Times New Roman"/>
          <w:sz w:val="28"/>
          <w:szCs w:val="28"/>
        </w:rPr>
        <w:t>20</w:t>
      </w:r>
      <w:r w:rsidR="00843F4E">
        <w:rPr>
          <w:rFonts w:ascii="PT Astra Serif" w:hAnsi="PT Astra Serif" w:cs="Times New Roman"/>
          <w:sz w:val="28"/>
          <w:szCs w:val="28"/>
        </w:rPr>
        <w:t>20</w:t>
      </w:r>
      <w:r w:rsidR="001E6C24">
        <w:rPr>
          <w:rFonts w:ascii="PT Astra Serif" w:hAnsi="PT Astra Serif" w:cs="Times New Roman"/>
          <w:sz w:val="28"/>
          <w:szCs w:val="28"/>
        </w:rPr>
        <w:t xml:space="preserve"> год</w:t>
      </w:r>
      <w:r w:rsidRPr="00F57EB7">
        <w:rPr>
          <w:rFonts w:ascii="PT Astra Serif" w:hAnsi="PT Astra Serif" w:cs="Times New Roman"/>
          <w:sz w:val="28"/>
          <w:szCs w:val="28"/>
        </w:rPr>
        <w:t>»</w:t>
      </w:r>
      <w:r w:rsidR="00D62D42">
        <w:rPr>
          <w:rFonts w:ascii="PT Astra Serif" w:hAnsi="PT Astra Serif" w:cs="Times New Roman"/>
          <w:sz w:val="28"/>
          <w:szCs w:val="28"/>
        </w:rPr>
        <w:t>, №3 «Сравнительная диаграмма обращений по блокам вопросов за  20</w:t>
      </w:r>
      <w:r w:rsidR="00843F4E">
        <w:rPr>
          <w:rFonts w:ascii="PT Astra Serif" w:hAnsi="PT Astra Serif" w:cs="Times New Roman"/>
          <w:sz w:val="28"/>
          <w:szCs w:val="28"/>
        </w:rPr>
        <w:t>20</w:t>
      </w:r>
      <w:r w:rsidR="00D62D42">
        <w:rPr>
          <w:rFonts w:ascii="PT Astra Serif" w:hAnsi="PT Astra Serif" w:cs="Times New Roman"/>
          <w:sz w:val="28"/>
          <w:szCs w:val="28"/>
        </w:rPr>
        <w:t xml:space="preserve"> г.»</w:t>
      </w: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3097B" w:rsidRDefault="00E3097B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44B8E" w:rsidRDefault="0091072A" w:rsidP="00ED405C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54D340" wp14:editId="3F39074F">
            <wp:extent cx="6677025" cy="49720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6047" w:rsidRDefault="00F26047" w:rsidP="00F2604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83C7A" w:rsidRDefault="00C83C7A" w:rsidP="00E3097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04A07" w:rsidRDefault="00F8289E" w:rsidP="00F260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t>Анализируя работу с обращениями граждан,</w:t>
      </w:r>
      <w:r w:rsidR="00110FD4" w:rsidRPr="00110FD4">
        <w:rPr>
          <w:rFonts w:ascii="PT Astra Serif" w:hAnsi="PT Astra Serif"/>
          <w:sz w:val="28"/>
          <w:szCs w:val="28"/>
        </w:rPr>
        <w:t xml:space="preserve"> </w:t>
      </w:r>
      <w:r w:rsidRPr="00110FD4">
        <w:rPr>
          <w:rFonts w:ascii="PT Astra Serif" w:hAnsi="PT Astra Serif"/>
          <w:sz w:val="28"/>
          <w:szCs w:val="28"/>
        </w:rPr>
        <w:t xml:space="preserve">проводимую в Министерстве  </w:t>
      </w:r>
      <w:r w:rsidR="00110FD4" w:rsidRPr="00110FD4">
        <w:rPr>
          <w:rFonts w:ascii="PT Astra Serif" w:hAnsi="PT Astra Serif"/>
          <w:sz w:val="28"/>
          <w:szCs w:val="28"/>
        </w:rPr>
        <w:t>семейной, демографической политики и социального благополучия Ульяновской области,</w:t>
      </w:r>
      <w:r w:rsidR="00110FD4">
        <w:rPr>
          <w:rFonts w:ascii="PT Astra Serif" w:hAnsi="PT Astra Serif"/>
          <w:sz w:val="28"/>
          <w:szCs w:val="28"/>
        </w:rPr>
        <w:t xml:space="preserve"> </w:t>
      </w:r>
      <w:r w:rsidR="00110FD4" w:rsidRPr="00110FD4">
        <w:rPr>
          <w:rFonts w:ascii="PT Astra Serif" w:hAnsi="PT Astra Serif"/>
          <w:sz w:val="28"/>
          <w:szCs w:val="28"/>
        </w:rPr>
        <w:t>можно сделат</w:t>
      </w:r>
      <w:r w:rsidR="00215372">
        <w:rPr>
          <w:rFonts w:ascii="PT Astra Serif" w:hAnsi="PT Astra Serif"/>
          <w:sz w:val="28"/>
          <w:szCs w:val="28"/>
        </w:rPr>
        <w:t>ь вывод, что некоторые проблемы</w:t>
      </w:r>
      <w:r w:rsidR="00110FD4" w:rsidRPr="00110FD4">
        <w:rPr>
          <w:rFonts w:ascii="PT Astra Serif" w:hAnsi="PT Astra Serif"/>
          <w:sz w:val="28"/>
          <w:szCs w:val="28"/>
        </w:rPr>
        <w:t>,</w:t>
      </w:r>
      <w:r w:rsidR="003974E9">
        <w:rPr>
          <w:rFonts w:ascii="PT Astra Serif" w:hAnsi="PT Astra Serif"/>
          <w:sz w:val="28"/>
          <w:szCs w:val="28"/>
        </w:rPr>
        <w:t xml:space="preserve"> </w:t>
      </w:r>
      <w:r w:rsidR="00110FD4" w:rsidRPr="00110FD4">
        <w:rPr>
          <w:rFonts w:ascii="PT Astra Serif" w:hAnsi="PT Astra Serif"/>
          <w:sz w:val="28"/>
          <w:szCs w:val="28"/>
        </w:rPr>
        <w:t>обсуждаемые на приеме или затронутые в письменных обращениях, действительно могут быть решены только на областном или федеральном уровне и требуют дополнительных</w:t>
      </w:r>
      <w:r w:rsidR="00215372">
        <w:rPr>
          <w:rFonts w:ascii="PT Astra Serif" w:hAnsi="PT Astra Serif"/>
          <w:sz w:val="28"/>
          <w:szCs w:val="28"/>
        </w:rPr>
        <w:t xml:space="preserve"> средств, но большинство вопросов</w:t>
      </w:r>
      <w:r w:rsidR="00110FD4" w:rsidRPr="00110FD4">
        <w:rPr>
          <w:rFonts w:ascii="PT Astra Serif" w:hAnsi="PT Astra Serif"/>
          <w:sz w:val="28"/>
          <w:szCs w:val="28"/>
        </w:rPr>
        <w:t xml:space="preserve"> решаются на местах. </w:t>
      </w:r>
      <w:proofErr w:type="gramStart"/>
      <w:r w:rsidR="002736D7">
        <w:rPr>
          <w:rFonts w:ascii="PT Astra Serif" w:hAnsi="PT Astra Serif"/>
          <w:sz w:val="28"/>
          <w:szCs w:val="28"/>
        </w:rPr>
        <w:t>Г</w:t>
      </w:r>
      <w:r w:rsidR="00110FD4">
        <w:rPr>
          <w:rFonts w:ascii="PT Astra Serif" w:hAnsi="PT Astra Serif"/>
          <w:sz w:val="28"/>
          <w:szCs w:val="28"/>
        </w:rPr>
        <w:t>ражданам</w:t>
      </w:r>
      <w:proofErr w:type="gramEnd"/>
      <w:r w:rsidR="007B7B63">
        <w:rPr>
          <w:rFonts w:ascii="PT Astra Serif" w:hAnsi="PT Astra Serif"/>
          <w:sz w:val="28"/>
          <w:szCs w:val="28"/>
        </w:rPr>
        <w:t xml:space="preserve"> </w:t>
      </w:r>
      <w:r w:rsidR="00110FD4">
        <w:rPr>
          <w:rFonts w:ascii="PT Astra Serif" w:hAnsi="PT Astra Serif"/>
          <w:sz w:val="28"/>
          <w:szCs w:val="28"/>
        </w:rPr>
        <w:t>обратившимся с обращениями да</w:t>
      </w:r>
      <w:r w:rsidR="002736D7">
        <w:rPr>
          <w:rFonts w:ascii="PT Astra Serif" w:hAnsi="PT Astra Serif"/>
          <w:sz w:val="28"/>
          <w:szCs w:val="28"/>
        </w:rPr>
        <w:t>ны</w:t>
      </w:r>
      <w:r w:rsidR="00110FD4">
        <w:rPr>
          <w:rFonts w:ascii="PT Astra Serif" w:hAnsi="PT Astra Serif"/>
          <w:sz w:val="28"/>
          <w:szCs w:val="28"/>
        </w:rPr>
        <w:t xml:space="preserve"> грамотные, доступные разъяснения действующ</w:t>
      </w:r>
      <w:r w:rsidR="002736D7">
        <w:rPr>
          <w:rFonts w:ascii="PT Astra Serif" w:hAnsi="PT Astra Serif"/>
          <w:sz w:val="28"/>
          <w:szCs w:val="28"/>
        </w:rPr>
        <w:t>их законодатель</w:t>
      </w:r>
      <w:r w:rsidR="00F26047">
        <w:rPr>
          <w:rFonts w:ascii="PT Astra Serif" w:hAnsi="PT Astra Serif"/>
          <w:sz w:val="28"/>
          <w:szCs w:val="28"/>
        </w:rPr>
        <w:t>ных и нормативно-правовых актов.</w:t>
      </w:r>
    </w:p>
    <w:p w:rsidR="002A13F2" w:rsidRDefault="002A13F2" w:rsidP="00F260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A13F2" w:rsidRDefault="002A13F2" w:rsidP="00F2604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82076" w:rsidRDefault="00282076" w:rsidP="00C62268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EB6013" w:rsidRPr="00282076" w:rsidRDefault="00EB6013" w:rsidP="00EB6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>Диаграмма  №</w:t>
      </w:r>
      <w:r w:rsidR="00172B77" w:rsidRPr="00282076">
        <w:rPr>
          <w:rFonts w:ascii="Times New Roman" w:hAnsi="Times New Roman" w:cs="Times New Roman"/>
          <w:b/>
          <w:sz w:val="28"/>
          <w:szCs w:val="28"/>
        </w:rPr>
        <w:t>4</w:t>
      </w:r>
    </w:p>
    <w:p w:rsidR="00EB6013" w:rsidRPr="00282076" w:rsidRDefault="00EB6013" w:rsidP="00EB6013">
      <w:pPr>
        <w:widowControl w:val="0"/>
        <w:tabs>
          <w:tab w:val="left" w:pos="90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 xml:space="preserve">«Сравнительная диаграмма обращений по блокам вопросов </w:t>
      </w:r>
    </w:p>
    <w:p w:rsidR="00534AFD" w:rsidRPr="00282076" w:rsidRDefault="00EB6013" w:rsidP="002736D7">
      <w:pPr>
        <w:widowControl w:val="0"/>
        <w:tabs>
          <w:tab w:val="left" w:pos="900"/>
        </w:tabs>
        <w:spacing w:line="23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>за 2</w:t>
      </w:r>
      <w:r w:rsidR="002736D7" w:rsidRPr="00282076">
        <w:rPr>
          <w:rFonts w:ascii="Times New Roman" w:hAnsi="Times New Roman" w:cs="Times New Roman"/>
          <w:b/>
          <w:sz w:val="28"/>
          <w:szCs w:val="28"/>
        </w:rPr>
        <w:t>0</w:t>
      </w:r>
      <w:r w:rsidR="00C55620" w:rsidRPr="00282076">
        <w:rPr>
          <w:rFonts w:ascii="Times New Roman" w:hAnsi="Times New Roman" w:cs="Times New Roman"/>
          <w:b/>
          <w:sz w:val="28"/>
          <w:szCs w:val="28"/>
        </w:rPr>
        <w:t>20</w:t>
      </w:r>
      <w:r w:rsidR="002736D7" w:rsidRPr="00282076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34AFD" w:rsidRDefault="00534AFD" w:rsidP="002736D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F5332" w:rsidRPr="002736D7" w:rsidRDefault="00C33DAC" w:rsidP="002736D7">
      <w:pPr>
        <w:widowControl w:val="0"/>
        <w:tabs>
          <w:tab w:val="left" w:pos="900"/>
        </w:tabs>
        <w:spacing w:line="232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A93F1D" wp14:editId="33E71B4B">
            <wp:extent cx="6115050" cy="4295775"/>
            <wp:effectExtent l="0" t="0" r="19050" b="9525"/>
            <wp:docPr id="7" name="Диаграмма 7" title="Соотношение количества обращений по блокам вопросов в сравнении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F6E88" w:rsidRDefault="00021F6A" w:rsidP="005A477F">
      <w:pPr>
        <w:spacing w:after="0" w:line="240" w:lineRule="auto"/>
        <w:rPr>
          <w:rFonts w:ascii="SegoeUI" w:hAnsi="SegoeUI"/>
          <w:color w:val="333333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t xml:space="preserve">      В</w:t>
      </w:r>
      <w:r w:rsidR="00C55620" w:rsidRPr="005A477F">
        <w:rPr>
          <w:rFonts w:ascii="PT Astra Serif" w:hAnsi="PT Astra Serif" w:cs="Times New Roman"/>
          <w:sz w:val="28"/>
          <w:szCs w:val="28"/>
        </w:rPr>
        <w:t xml:space="preserve"> 2020 год</w:t>
      </w:r>
      <w:r>
        <w:rPr>
          <w:rFonts w:ascii="PT Astra Serif" w:hAnsi="PT Astra Serif" w:cs="Times New Roman"/>
          <w:sz w:val="28"/>
          <w:szCs w:val="28"/>
        </w:rPr>
        <w:t xml:space="preserve">у </w:t>
      </w:r>
      <w:r w:rsidR="00C55620" w:rsidRPr="005A477F">
        <w:rPr>
          <w:rFonts w:ascii="PT Astra Serif" w:hAnsi="PT Astra Serif" w:cs="Times New Roman"/>
          <w:sz w:val="28"/>
          <w:szCs w:val="28"/>
        </w:rPr>
        <w:t xml:space="preserve"> проведено 55</w:t>
      </w:r>
      <w:r w:rsidR="003C0AB3" w:rsidRPr="005A477F">
        <w:rPr>
          <w:rFonts w:ascii="PT Astra Serif" w:hAnsi="PT Astra Serif" w:cs="Times New Roman"/>
          <w:sz w:val="28"/>
          <w:szCs w:val="28"/>
        </w:rPr>
        <w:t xml:space="preserve"> 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личны</w:t>
      </w:r>
      <w:r w:rsidR="005B371E" w:rsidRPr="005A477F">
        <w:rPr>
          <w:rFonts w:ascii="PT Astra Serif" w:hAnsi="PT Astra Serif" w:cs="Times New Roman"/>
          <w:sz w:val="28"/>
          <w:szCs w:val="28"/>
        </w:rPr>
        <w:t>х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приём</w:t>
      </w:r>
      <w:r w:rsidR="005B371E" w:rsidRPr="005A477F">
        <w:rPr>
          <w:rFonts w:ascii="PT Astra Serif" w:hAnsi="PT Astra Serif" w:cs="Times New Roman"/>
          <w:sz w:val="28"/>
          <w:szCs w:val="28"/>
        </w:rPr>
        <w:t>ов</w:t>
      </w:r>
      <w:r w:rsidR="008A696B" w:rsidRPr="005A477F">
        <w:rPr>
          <w:rFonts w:ascii="PT Astra Serif" w:hAnsi="PT Astra Serif" w:cs="Times New Roman"/>
          <w:sz w:val="28"/>
          <w:szCs w:val="28"/>
        </w:rPr>
        <w:t xml:space="preserve"> граждан</w:t>
      </w:r>
      <w:r w:rsidR="003974E9" w:rsidRPr="005A477F">
        <w:rPr>
          <w:rFonts w:ascii="PT Astra Serif" w:hAnsi="PT Astra Serif" w:cs="Times New Roman"/>
          <w:sz w:val="28"/>
          <w:szCs w:val="28"/>
        </w:rPr>
        <w:t>,</w:t>
      </w:r>
      <w:r w:rsidR="005B371E" w:rsidRPr="005A477F">
        <w:rPr>
          <w:rFonts w:ascii="PT Astra Serif" w:hAnsi="PT Astra Serif" w:cs="Times New Roman"/>
          <w:sz w:val="28"/>
          <w:szCs w:val="28"/>
        </w:rPr>
        <w:t xml:space="preserve"> принято </w:t>
      </w:r>
      <w:r w:rsidR="00C55620" w:rsidRPr="005A477F">
        <w:rPr>
          <w:rFonts w:ascii="PT Astra Serif" w:hAnsi="PT Astra Serif" w:cs="Times New Roman"/>
          <w:sz w:val="28"/>
          <w:szCs w:val="28"/>
        </w:rPr>
        <w:t>55</w:t>
      </w:r>
      <w:r w:rsidR="00EE1077" w:rsidRPr="005A477F">
        <w:rPr>
          <w:rFonts w:ascii="PT Astra Serif" w:hAnsi="PT Astra Serif" w:cs="Times New Roman"/>
          <w:sz w:val="28"/>
          <w:szCs w:val="28"/>
        </w:rPr>
        <w:t xml:space="preserve"> </w:t>
      </w:r>
      <w:r w:rsidR="005D6BF5" w:rsidRPr="005A477F">
        <w:rPr>
          <w:rFonts w:ascii="PT Astra Serif" w:hAnsi="PT Astra Serif" w:cs="Times New Roman"/>
          <w:sz w:val="28"/>
          <w:szCs w:val="28"/>
        </w:rPr>
        <w:t xml:space="preserve"> чел</w:t>
      </w:r>
      <w:r w:rsidR="00A138EA" w:rsidRPr="005A477F">
        <w:rPr>
          <w:rFonts w:ascii="PT Astra Serif" w:hAnsi="PT Astra Serif" w:cs="Times New Roman"/>
          <w:sz w:val="28"/>
          <w:szCs w:val="28"/>
        </w:rPr>
        <w:t>овек</w:t>
      </w:r>
      <w:r w:rsidR="005D6BF5" w:rsidRPr="005A477F">
        <w:rPr>
          <w:rFonts w:ascii="PT Astra Serif" w:hAnsi="PT Astra Serif" w:cs="Times New Roman"/>
          <w:sz w:val="28"/>
          <w:szCs w:val="28"/>
        </w:rPr>
        <w:t>.</w:t>
      </w:r>
      <w:r w:rsidR="00A74CA8" w:rsidRPr="005A477F">
        <w:rPr>
          <w:rFonts w:ascii="SegoeUI" w:hAnsi="SegoeUI"/>
          <w:color w:val="333333"/>
          <w:shd w:val="clear" w:color="auto" w:fill="FFFFFF"/>
        </w:rPr>
        <w:t xml:space="preserve"> </w:t>
      </w:r>
    </w:p>
    <w:p w:rsidR="00021F6A" w:rsidRPr="005A477F" w:rsidRDefault="00021F6A" w:rsidP="005A477F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73E18" w:rsidRPr="00CF3230" w:rsidRDefault="000B334B" w:rsidP="00CF3230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386C46">
        <w:rPr>
          <w:rFonts w:ascii="PT Astra Serif" w:hAnsi="PT Astra Serif" w:cs="Times New Roman"/>
          <w:sz w:val="28"/>
          <w:szCs w:val="28"/>
        </w:rPr>
        <w:t xml:space="preserve">Анализируя </w:t>
      </w:r>
      <w:r w:rsidR="003974E9">
        <w:rPr>
          <w:rFonts w:ascii="PT Astra Serif" w:hAnsi="PT Astra Serif" w:cs="Times New Roman"/>
          <w:sz w:val="28"/>
          <w:szCs w:val="28"/>
        </w:rPr>
        <w:t xml:space="preserve">организацию и проведение </w:t>
      </w:r>
      <w:r w:rsidRPr="00386C46">
        <w:rPr>
          <w:rFonts w:ascii="PT Astra Serif" w:hAnsi="PT Astra Serif" w:cs="Times New Roman"/>
          <w:sz w:val="28"/>
          <w:szCs w:val="28"/>
        </w:rPr>
        <w:t xml:space="preserve"> приемов граждан по личным вопросам  можно отметить, что большинство граждан, особенно старшего возраста считают, что их личные проблемы без вмешательства вышестоящих органов</w:t>
      </w:r>
      <w:r w:rsidR="003974E9">
        <w:rPr>
          <w:rFonts w:ascii="PT Astra Serif" w:hAnsi="PT Astra Serif" w:cs="Times New Roman"/>
          <w:sz w:val="28"/>
          <w:szCs w:val="28"/>
        </w:rPr>
        <w:t xml:space="preserve"> власти справедливо решены быть</w:t>
      </w:r>
      <w:r w:rsidRPr="00386C46">
        <w:rPr>
          <w:rFonts w:ascii="PT Astra Serif" w:hAnsi="PT Astra Serif" w:cs="Times New Roman"/>
          <w:sz w:val="28"/>
          <w:szCs w:val="28"/>
        </w:rPr>
        <w:t xml:space="preserve"> не могут. Это своего рода сложившееся м</w:t>
      </w:r>
      <w:r w:rsidR="00092A23">
        <w:rPr>
          <w:rFonts w:ascii="PT Astra Serif" w:hAnsi="PT Astra Serif" w:cs="Times New Roman"/>
          <w:sz w:val="28"/>
          <w:szCs w:val="28"/>
        </w:rPr>
        <w:t>нение граждан пожилого возраста.</w:t>
      </w:r>
    </w:p>
    <w:p w:rsidR="00473E18" w:rsidRDefault="00473E18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3E18" w:rsidRDefault="00473E18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CF3230" w:rsidRDefault="00CF3230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26047" w:rsidRPr="00110FD4" w:rsidRDefault="00F26047" w:rsidP="00F2604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10FD4">
        <w:rPr>
          <w:rFonts w:ascii="PT Astra Serif" w:hAnsi="PT Astra Serif"/>
          <w:sz w:val="28"/>
          <w:szCs w:val="28"/>
        </w:rPr>
        <w:t>Из них:</w:t>
      </w:r>
    </w:p>
    <w:p w:rsidR="00F26047" w:rsidRPr="00D93DE5" w:rsidRDefault="00F26047" w:rsidP="00F2604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74"/>
        <w:gridCol w:w="4388"/>
      </w:tblGrid>
      <w:tr w:rsidR="00F26047" w:rsidRPr="00D93DE5" w:rsidTr="002A13F2">
        <w:trPr>
          <w:trHeight w:val="515"/>
        </w:trPr>
        <w:tc>
          <w:tcPr>
            <w:tcW w:w="5974" w:type="dxa"/>
          </w:tcPr>
          <w:p w:rsidR="00F26047" w:rsidRPr="007B7B63" w:rsidRDefault="00F26047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4388" w:type="dxa"/>
          </w:tcPr>
          <w:p w:rsidR="00F26047" w:rsidRPr="007B7B63" w:rsidRDefault="00F26047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t>31%</w:t>
            </w:r>
          </w:p>
        </w:tc>
      </w:tr>
      <w:tr w:rsidR="00F26047" w:rsidRPr="00D93DE5" w:rsidTr="002A13F2">
        <w:trPr>
          <w:trHeight w:val="641"/>
        </w:trPr>
        <w:tc>
          <w:tcPr>
            <w:tcW w:w="5974" w:type="dxa"/>
          </w:tcPr>
          <w:p w:rsidR="00F26047" w:rsidRPr="007B7B63" w:rsidRDefault="00F26047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t>Отказано из-за необоснованности обращения</w:t>
            </w:r>
          </w:p>
        </w:tc>
        <w:tc>
          <w:tcPr>
            <w:tcW w:w="4388" w:type="dxa"/>
          </w:tcPr>
          <w:p w:rsidR="00F26047" w:rsidRPr="007B7B63" w:rsidRDefault="00F26047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t>16%</w:t>
            </w:r>
          </w:p>
        </w:tc>
      </w:tr>
      <w:tr w:rsidR="00F26047" w:rsidRPr="00D93DE5" w:rsidTr="002A13F2">
        <w:trPr>
          <w:trHeight w:val="657"/>
        </w:trPr>
        <w:tc>
          <w:tcPr>
            <w:tcW w:w="5974" w:type="dxa"/>
          </w:tcPr>
          <w:p w:rsidR="00F26047" w:rsidRPr="007B7B63" w:rsidRDefault="00F26047" w:rsidP="002A13F2">
            <w:pPr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lastRenderedPageBreak/>
              <w:t>Разъяснено в соответствии с действующим законодательством</w:t>
            </w:r>
          </w:p>
        </w:tc>
        <w:tc>
          <w:tcPr>
            <w:tcW w:w="4388" w:type="dxa"/>
          </w:tcPr>
          <w:p w:rsidR="00F26047" w:rsidRPr="007B7B63" w:rsidRDefault="00F26047" w:rsidP="002A13F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7B63">
              <w:rPr>
                <w:rFonts w:ascii="PT Astra Serif" w:hAnsi="PT Astra Serif"/>
                <w:sz w:val="28"/>
                <w:szCs w:val="28"/>
              </w:rPr>
              <w:t>73%</w:t>
            </w:r>
          </w:p>
        </w:tc>
      </w:tr>
    </w:tbl>
    <w:p w:rsidR="00F26047" w:rsidRDefault="00F26047" w:rsidP="00F26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6047" w:rsidRDefault="00F26047" w:rsidP="00F2604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6047" w:rsidRPr="00304A07" w:rsidRDefault="00F26047" w:rsidP="00F26047">
      <w:pPr>
        <w:keepNext/>
        <w:spacing w:after="0" w:line="240" w:lineRule="auto"/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 wp14:anchorId="6F49F9FA" wp14:editId="0407DA45">
            <wp:extent cx="6591300" cy="5162550"/>
            <wp:effectExtent l="0" t="0" r="19050" b="19050"/>
            <wp:docPr id="8" name="Диаграмма 8" descr="Результаты рассмотрения обращений граждан" title="Диаграмма №3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6047" w:rsidRDefault="00F26047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473E18" w:rsidRDefault="00473E18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CF3230" w:rsidRDefault="00CF3230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CF3230" w:rsidRDefault="00CF3230" w:rsidP="00386C46">
      <w:pPr>
        <w:spacing w:after="0" w:line="240" w:lineRule="auto"/>
        <w:ind w:firstLine="360"/>
        <w:jc w:val="both"/>
        <w:rPr>
          <w:rFonts w:ascii="PT Astra Serif" w:hAnsi="PT Astra Serif"/>
          <w:b/>
          <w:sz w:val="28"/>
          <w:szCs w:val="28"/>
        </w:rPr>
      </w:pPr>
    </w:p>
    <w:p w:rsidR="00B53A54" w:rsidRPr="005F42A7" w:rsidRDefault="00B53A54" w:rsidP="005F42A7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A48A5" w:rsidRPr="00282076" w:rsidRDefault="00CA48A5" w:rsidP="00F2604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893FAB" w:rsidRPr="00282076" w:rsidRDefault="00893FAB" w:rsidP="00A03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2F5" w:rsidRPr="00282076" w:rsidRDefault="001F6E88" w:rsidP="001F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76"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1F6E88" w:rsidRPr="003049BD" w:rsidRDefault="001F6E88" w:rsidP="001F6E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850"/>
        <w:gridCol w:w="992"/>
        <w:gridCol w:w="851"/>
        <w:gridCol w:w="851"/>
        <w:gridCol w:w="709"/>
        <w:gridCol w:w="567"/>
        <w:gridCol w:w="710"/>
        <w:gridCol w:w="710"/>
        <w:gridCol w:w="848"/>
      </w:tblGrid>
      <w:tr w:rsidR="00681817" w:rsidRPr="00550012" w:rsidTr="00A21793">
        <w:trPr>
          <w:cantSplit/>
          <w:trHeight w:val="1772"/>
        </w:trPr>
        <w:tc>
          <w:tcPr>
            <w:tcW w:w="2694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Муниципальное образование</w:t>
            </w:r>
          </w:p>
        </w:tc>
        <w:tc>
          <w:tcPr>
            <w:tcW w:w="1134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850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  <w:tc>
          <w:tcPr>
            <w:tcW w:w="992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  <w:tc>
          <w:tcPr>
            <w:tcW w:w="851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  <w:tc>
          <w:tcPr>
            <w:tcW w:w="851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 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квартал 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 года</w:t>
            </w:r>
          </w:p>
        </w:tc>
        <w:tc>
          <w:tcPr>
            <w:tcW w:w="709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710" w:type="dxa"/>
            <w:textDirection w:val="btLr"/>
          </w:tcPr>
          <w:p w:rsidR="00F07EC9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10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848" w:type="dxa"/>
            <w:textDirection w:val="btLr"/>
          </w:tcPr>
          <w:p w:rsidR="00681817" w:rsidRPr="00F07EC9" w:rsidRDefault="00681817" w:rsidP="0068181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  <w:proofErr w:type="gramStart"/>
            <w:r w:rsidRPr="00F07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(+,-)</w:t>
            </w:r>
            <w:proofErr w:type="gramEnd"/>
          </w:p>
        </w:tc>
      </w:tr>
      <w:tr w:rsidR="00A21793" w:rsidRPr="00F07EC9" w:rsidTr="00BF2D14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81817" w:rsidRPr="00F07EC9" w:rsidRDefault="00681817" w:rsidP="00F0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Без указания точного адреса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681817" w:rsidRPr="00F07EC9" w:rsidRDefault="00FD160E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+662</w:t>
            </w:r>
          </w:p>
        </w:tc>
      </w:tr>
      <w:tr w:rsidR="00A21793" w:rsidRPr="00F07EC9" w:rsidTr="00BF2D14">
        <w:trPr>
          <w:trHeight w:val="4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город Ульяновск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625 000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81817" w:rsidRPr="00F07EC9" w:rsidRDefault="00FD160E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+807</w:t>
            </w:r>
          </w:p>
        </w:tc>
      </w:tr>
      <w:tr w:rsidR="00A21793" w:rsidRPr="00F07EC9" w:rsidTr="00BF2D1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12 705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67" w:type="dxa"/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-62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Инзенский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37 007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+31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27 004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26 009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28 009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681817" w:rsidRPr="00F07EC9" w:rsidRDefault="002A4431" w:rsidP="002A44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39 002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Николаевский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29 002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Новоспасский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23 004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16 008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овоульяновск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16 004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Павловский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16 001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Радищевский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14 008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25 004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Старокулаткинский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16 004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681817" w:rsidRPr="00F07EC9" w:rsidRDefault="002A4431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19 008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19 009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Ульяновский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36 003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+14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28 003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F07EC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42 006</w:t>
            </w: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67" w:type="dxa"/>
          </w:tcPr>
          <w:p w:rsidR="00681817" w:rsidRPr="00FD160E" w:rsidRDefault="00523514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FFFF00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10" w:type="dxa"/>
          </w:tcPr>
          <w:p w:rsidR="00681817" w:rsidRPr="00FD160E" w:rsidRDefault="00FD160E" w:rsidP="00C5562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681817" w:rsidRPr="00F07EC9" w:rsidRDefault="000662EC" w:rsidP="00C556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+30</w:t>
            </w:r>
          </w:p>
        </w:tc>
      </w:tr>
      <w:tr w:rsidR="00A21793" w:rsidRPr="00F07EC9" w:rsidTr="00BF2D14">
        <w:tc>
          <w:tcPr>
            <w:tcW w:w="2694" w:type="dxa"/>
            <w:shd w:val="clear" w:color="auto" w:fill="auto"/>
          </w:tcPr>
          <w:p w:rsidR="00681817" w:rsidRPr="00F07EC9" w:rsidRDefault="00681817" w:rsidP="00C55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851" w:type="dxa"/>
            <w:shd w:val="clear" w:color="auto" w:fill="auto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851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EC9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709" w:type="dxa"/>
            <w:shd w:val="clear" w:color="auto" w:fill="FFFF00"/>
          </w:tcPr>
          <w:p w:rsidR="00681817" w:rsidRPr="00BF2D14" w:rsidRDefault="00681817" w:rsidP="00C5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D14">
              <w:rPr>
                <w:rFonts w:ascii="Times New Roman" w:hAnsi="Times New Roman" w:cs="Times New Roman"/>
                <w:b/>
                <w:sz w:val="24"/>
                <w:szCs w:val="24"/>
              </w:rPr>
              <w:t>5279</w:t>
            </w:r>
          </w:p>
        </w:tc>
        <w:tc>
          <w:tcPr>
            <w:tcW w:w="567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00"/>
          </w:tcPr>
          <w:p w:rsidR="00681817" w:rsidRPr="00FD160E" w:rsidRDefault="00681817" w:rsidP="00C5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0E">
              <w:rPr>
                <w:rFonts w:ascii="Times New Roman" w:hAnsi="Times New Roman" w:cs="Times New Roman"/>
                <w:b/>
                <w:sz w:val="24"/>
                <w:szCs w:val="24"/>
              </w:rPr>
              <w:t>3998</w:t>
            </w:r>
          </w:p>
        </w:tc>
        <w:tc>
          <w:tcPr>
            <w:tcW w:w="710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81817" w:rsidRPr="00F07EC9" w:rsidRDefault="00681817" w:rsidP="00C5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781" w:rsidRPr="003049BD" w:rsidRDefault="00316781" w:rsidP="00F8743E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205523" w:rsidRDefault="00ED1D79" w:rsidP="00534AFD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362E1A6" wp14:editId="53775487">
            <wp:extent cx="6591300" cy="5181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4AFD" w:rsidRDefault="00534AFD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03FA1" w:rsidRDefault="002B52D7" w:rsidP="00534AF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="005F42A7"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 w:rsidR="00F26047">
        <w:rPr>
          <w:rFonts w:ascii="PT Astra Serif" w:hAnsi="PT Astra Serif" w:cs="Times New Roman"/>
          <w:sz w:val="28"/>
          <w:szCs w:val="28"/>
        </w:rPr>
        <w:t>а</w:t>
      </w:r>
      <w:r w:rsidR="002B3634">
        <w:rPr>
          <w:rFonts w:ascii="PT Astra Serif" w:hAnsi="PT Astra Serif" w:cs="Times New Roman"/>
          <w:sz w:val="28"/>
          <w:szCs w:val="28"/>
        </w:rPr>
        <w:t>, в</w:t>
      </w:r>
      <w:r w:rsidR="00E36105" w:rsidRPr="00896FBC">
        <w:rPr>
          <w:rFonts w:ascii="PT Astra Serif" w:hAnsi="PT Astra Serif" w:cs="Times New Roman"/>
          <w:sz w:val="28"/>
          <w:szCs w:val="28"/>
        </w:rPr>
        <w:t>сего от жите</w:t>
      </w:r>
      <w:r w:rsidR="004E2348" w:rsidRPr="00896FBC">
        <w:rPr>
          <w:rFonts w:ascii="PT Astra Serif" w:hAnsi="PT Astra Serif" w:cs="Times New Roman"/>
          <w:sz w:val="28"/>
          <w:szCs w:val="28"/>
        </w:rPr>
        <w:t xml:space="preserve">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2B3634">
        <w:rPr>
          <w:rFonts w:ascii="PT Astra Serif" w:hAnsi="PT Astra Serif" w:cs="Times New Roman"/>
          <w:sz w:val="28"/>
          <w:szCs w:val="28"/>
        </w:rPr>
        <w:t xml:space="preserve">2020 год поступило 2367 обращений  (в  </w:t>
      </w:r>
      <w:r>
        <w:rPr>
          <w:rFonts w:ascii="PT Astra Serif" w:hAnsi="PT Astra Serif" w:cs="Times New Roman"/>
          <w:sz w:val="28"/>
          <w:szCs w:val="28"/>
        </w:rPr>
        <w:t>2019 год</w:t>
      </w:r>
      <w:r w:rsidR="002B3634">
        <w:rPr>
          <w:rFonts w:ascii="PT Astra Serif" w:hAnsi="PT Astra Serif" w:cs="Times New Roman"/>
          <w:sz w:val="28"/>
          <w:szCs w:val="28"/>
        </w:rPr>
        <w:t xml:space="preserve">у </w:t>
      </w:r>
      <w:r>
        <w:rPr>
          <w:rFonts w:ascii="PT Astra Serif" w:hAnsi="PT Astra Serif" w:cs="Times New Roman"/>
          <w:sz w:val="28"/>
          <w:szCs w:val="28"/>
        </w:rPr>
        <w:t xml:space="preserve"> поступило  </w:t>
      </w:r>
      <w:r w:rsidR="002736D7">
        <w:rPr>
          <w:rFonts w:ascii="PT Astra Serif" w:hAnsi="PT Astra Serif" w:cs="Times New Roman"/>
          <w:sz w:val="28"/>
          <w:szCs w:val="28"/>
        </w:rPr>
        <w:t xml:space="preserve">1560 </w:t>
      </w:r>
      <w:r w:rsidR="008B68FC">
        <w:rPr>
          <w:rFonts w:ascii="PT Astra Serif" w:hAnsi="PT Astra Serif" w:cs="Times New Roman"/>
          <w:sz w:val="28"/>
          <w:szCs w:val="28"/>
        </w:rPr>
        <w:t>обращени</w:t>
      </w:r>
      <w:r w:rsidR="002736D7">
        <w:rPr>
          <w:rFonts w:ascii="PT Astra Serif" w:hAnsi="PT Astra Serif" w:cs="Times New Roman"/>
          <w:sz w:val="28"/>
          <w:szCs w:val="28"/>
        </w:rPr>
        <w:t>й</w:t>
      </w:r>
      <w:r w:rsidR="002B3634">
        <w:rPr>
          <w:rFonts w:ascii="PT Astra Serif" w:hAnsi="PT Astra Serif" w:cs="Times New Roman"/>
          <w:sz w:val="28"/>
          <w:szCs w:val="28"/>
        </w:rPr>
        <w:t>)</w:t>
      </w:r>
      <w:r w:rsidR="002736D7">
        <w:rPr>
          <w:rFonts w:ascii="PT Astra Serif" w:hAnsi="PT Astra Serif" w:cs="Times New Roman"/>
          <w:sz w:val="28"/>
          <w:szCs w:val="28"/>
        </w:rPr>
        <w:t xml:space="preserve">. </w:t>
      </w:r>
      <w:r w:rsidR="00941000">
        <w:rPr>
          <w:rFonts w:ascii="PT Astra Serif" w:hAnsi="PT Astra Serif" w:cs="Times New Roman"/>
          <w:sz w:val="28"/>
          <w:szCs w:val="28"/>
        </w:rPr>
        <w:t xml:space="preserve"> </w:t>
      </w:r>
    </w:p>
    <w:p w:rsidR="00936C21" w:rsidRPr="00896FBC" w:rsidRDefault="00936C21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2B3634">
        <w:rPr>
          <w:rFonts w:ascii="PT Astra Serif" w:hAnsi="PT Astra Serif" w:cs="Times New Roman"/>
          <w:sz w:val="28"/>
          <w:szCs w:val="28"/>
        </w:rPr>
        <w:t xml:space="preserve">60 </w:t>
      </w:r>
      <w:r>
        <w:rPr>
          <w:rFonts w:ascii="PT Astra Serif" w:hAnsi="PT Astra Serif" w:cs="Times New Roman"/>
          <w:sz w:val="28"/>
          <w:szCs w:val="28"/>
        </w:rPr>
        <w:t>обращений поступило от жителей других регионов.</w:t>
      </w:r>
    </w:p>
    <w:p w:rsidR="00396C80" w:rsidRPr="00896FBC" w:rsidRDefault="002B3634" w:rsidP="00E3097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1460</w:t>
      </w:r>
      <w:r w:rsidR="002736D7">
        <w:rPr>
          <w:rFonts w:ascii="PT Astra Serif" w:hAnsi="PT Astra Serif" w:cs="Times New Roman"/>
          <w:sz w:val="28"/>
          <w:szCs w:val="28"/>
        </w:rPr>
        <w:t xml:space="preserve"> </w:t>
      </w:r>
      <w:r w:rsidR="00396C80" w:rsidRPr="00896FBC">
        <w:rPr>
          <w:rFonts w:ascii="PT Astra Serif" w:hAnsi="PT Astra Serif" w:cs="Times New Roman"/>
          <w:sz w:val="28"/>
          <w:szCs w:val="28"/>
        </w:rPr>
        <w:t>обращени</w:t>
      </w:r>
      <w:r w:rsidR="002B52D7">
        <w:rPr>
          <w:rFonts w:ascii="PT Astra Serif" w:hAnsi="PT Astra Serif" w:cs="Times New Roman"/>
          <w:sz w:val="28"/>
          <w:szCs w:val="28"/>
        </w:rPr>
        <w:t>й</w:t>
      </w:r>
      <w:r w:rsidR="00396C80" w:rsidRPr="00896FBC">
        <w:rPr>
          <w:rFonts w:ascii="PT Astra Serif" w:hAnsi="PT Astra Serif" w:cs="Times New Roman"/>
          <w:sz w:val="28"/>
          <w:szCs w:val="28"/>
        </w:rPr>
        <w:t xml:space="preserve"> поступ</w:t>
      </w:r>
      <w:r w:rsidR="006368B6">
        <w:rPr>
          <w:rFonts w:ascii="PT Astra Serif" w:hAnsi="PT Astra Serif" w:cs="Times New Roman"/>
          <w:sz w:val="28"/>
          <w:szCs w:val="28"/>
        </w:rPr>
        <w:t>ило без указания точного адреса (без указания почтового адреса, с указанием адреса электронной почты)</w:t>
      </w:r>
    </w:p>
    <w:p w:rsidR="00350B8D" w:rsidRDefault="00396C80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 w:rsidR="00205523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 w:rsidR="008B68FC"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>198</w:t>
      </w:r>
      <w:r w:rsidR="00896FBC" w:rsidRPr="00896FBC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proofErr w:type="spellStart"/>
      <w:r w:rsidR="00806741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A83C7F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-</w:t>
      </w:r>
      <w:r w:rsidR="00A83C7F">
        <w:rPr>
          <w:rFonts w:ascii="PT Astra Serif" w:hAnsi="PT Astra Serif" w:cs="Times New Roman"/>
          <w:sz w:val="28"/>
          <w:szCs w:val="28"/>
        </w:rPr>
        <w:t xml:space="preserve"> </w:t>
      </w:r>
      <w:r w:rsidR="00941000">
        <w:rPr>
          <w:rFonts w:ascii="PT Astra Serif" w:hAnsi="PT Astra Serif" w:cs="Times New Roman"/>
          <w:sz w:val="28"/>
          <w:szCs w:val="28"/>
        </w:rPr>
        <w:t>1</w:t>
      </w:r>
      <w:r w:rsidR="00806741">
        <w:rPr>
          <w:rFonts w:ascii="PT Astra Serif" w:hAnsi="PT Astra Serif" w:cs="Times New Roman"/>
          <w:sz w:val="28"/>
          <w:szCs w:val="28"/>
        </w:rPr>
        <w:t xml:space="preserve">25 </w:t>
      </w:r>
      <w:r w:rsidR="00941000">
        <w:rPr>
          <w:rFonts w:ascii="PT Astra Serif" w:hAnsi="PT Astra Serif" w:cs="Times New Roman"/>
          <w:sz w:val="28"/>
          <w:szCs w:val="28"/>
        </w:rPr>
        <w:t xml:space="preserve">обращений,  </w:t>
      </w:r>
      <w:r w:rsidR="00806741">
        <w:rPr>
          <w:rFonts w:ascii="PT Astra Serif" w:hAnsi="PT Astra Serif" w:cs="Times New Roman"/>
          <w:sz w:val="28"/>
          <w:szCs w:val="28"/>
        </w:rPr>
        <w:t>Ульяновского</w:t>
      </w:r>
      <w:r w:rsidR="00941000">
        <w:rPr>
          <w:rFonts w:ascii="PT Astra Serif" w:hAnsi="PT Astra Serif" w:cs="Times New Roman"/>
          <w:sz w:val="28"/>
          <w:szCs w:val="28"/>
        </w:rPr>
        <w:t xml:space="preserve">   района </w:t>
      </w:r>
      <w:r w:rsidR="00806741">
        <w:rPr>
          <w:rFonts w:ascii="PT Astra Serif" w:hAnsi="PT Astra Serif" w:cs="Times New Roman"/>
          <w:sz w:val="28"/>
          <w:szCs w:val="28"/>
        </w:rPr>
        <w:t>–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 xml:space="preserve">95 </w:t>
      </w:r>
      <w:r w:rsidR="00941000">
        <w:rPr>
          <w:rFonts w:ascii="PT Astra Serif" w:hAnsi="PT Astra Serif" w:cs="Times New Roman"/>
          <w:sz w:val="28"/>
          <w:szCs w:val="28"/>
        </w:rPr>
        <w:t>обращени</w:t>
      </w:r>
      <w:r w:rsidR="00806741">
        <w:rPr>
          <w:rFonts w:ascii="PT Astra Serif" w:hAnsi="PT Astra Serif" w:cs="Times New Roman"/>
          <w:sz w:val="28"/>
          <w:szCs w:val="28"/>
        </w:rPr>
        <w:t xml:space="preserve">й, </w:t>
      </w:r>
      <w:proofErr w:type="spellStart"/>
      <w:r w:rsidR="00806741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района -</w:t>
      </w:r>
      <w:r w:rsidR="00A83C7F">
        <w:rPr>
          <w:rFonts w:ascii="PT Astra Serif" w:hAnsi="PT Astra Serif" w:cs="Times New Roman"/>
          <w:sz w:val="28"/>
          <w:szCs w:val="28"/>
        </w:rPr>
        <w:t xml:space="preserve">  </w:t>
      </w:r>
      <w:r w:rsidR="00806741">
        <w:rPr>
          <w:rFonts w:ascii="PT Astra Serif" w:hAnsi="PT Astra Serif" w:cs="Times New Roman"/>
          <w:sz w:val="28"/>
          <w:szCs w:val="28"/>
        </w:rPr>
        <w:t>92 обращения.</w:t>
      </w:r>
    </w:p>
    <w:p w:rsidR="00936C21" w:rsidRDefault="00936C21" w:rsidP="0094100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Самая низкая активность граждан в 20</w:t>
      </w:r>
      <w:r w:rsidR="00806741">
        <w:rPr>
          <w:rFonts w:ascii="PT Astra Serif" w:hAnsi="PT Astra Serif" w:cs="Times New Roman"/>
          <w:sz w:val="28"/>
          <w:szCs w:val="28"/>
        </w:rPr>
        <w:t xml:space="preserve">20 </w:t>
      </w:r>
      <w:r>
        <w:rPr>
          <w:rFonts w:ascii="PT Astra Serif" w:hAnsi="PT Astra Serif" w:cs="Times New Roman"/>
          <w:sz w:val="28"/>
          <w:szCs w:val="28"/>
        </w:rPr>
        <w:t xml:space="preserve"> году отмечается </w:t>
      </w:r>
      <w:r w:rsidR="00806741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 xml:space="preserve">Сурском </w:t>
      </w:r>
      <w:r>
        <w:rPr>
          <w:rFonts w:ascii="PT Astra Serif" w:hAnsi="PT Astra Serif" w:cs="Times New Roman"/>
          <w:sz w:val="28"/>
          <w:szCs w:val="28"/>
        </w:rPr>
        <w:t>районе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>14</w:t>
      </w:r>
      <w:r>
        <w:rPr>
          <w:rFonts w:ascii="PT Astra Serif" w:hAnsi="PT Astra Serif" w:cs="Times New Roman"/>
          <w:sz w:val="28"/>
          <w:szCs w:val="28"/>
        </w:rPr>
        <w:t xml:space="preserve"> обращение,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06741">
        <w:rPr>
          <w:rFonts w:ascii="PT Astra Serif" w:hAnsi="PT Astra Serif" w:cs="Times New Roman"/>
          <w:sz w:val="28"/>
          <w:szCs w:val="28"/>
        </w:rPr>
        <w:t>Новомалыклинском</w:t>
      </w:r>
      <w:proofErr w:type="spellEnd"/>
      <w:r w:rsidR="0080674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>14</w:t>
      </w:r>
      <w:r>
        <w:rPr>
          <w:rFonts w:ascii="PT Astra Serif" w:hAnsi="PT Astra Serif" w:cs="Times New Roman"/>
          <w:sz w:val="28"/>
          <w:szCs w:val="28"/>
        </w:rPr>
        <w:t>,</w:t>
      </w:r>
      <w:r w:rsidR="008A5E17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Павловском -</w:t>
      </w:r>
      <w:r w:rsidR="00534AFD">
        <w:rPr>
          <w:rFonts w:ascii="PT Astra Serif" w:hAnsi="PT Astra Serif" w:cs="Times New Roman"/>
          <w:sz w:val="28"/>
          <w:szCs w:val="28"/>
        </w:rPr>
        <w:t xml:space="preserve"> </w:t>
      </w:r>
      <w:r w:rsidR="00806741">
        <w:rPr>
          <w:rFonts w:ascii="PT Astra Serif" w:hAnsi="PT Astra Serif" w:cs="Times New Roman"/>
          <w:sz w:val="28"/>
          <w:szCs w:val="28"/>
        </w:rPr>
        <w:t>15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</w:p>
    <w:p w:rsidR="0029789A" w:rsidRPr="0099701E" w:rsidRDefault="007B7B63" w:rsidP="0099701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9701E">
        <w:rPr>
          <w:rFonts w:ascii="PT Astra Serif" w:hAnsi="PT Astra Serif" w:cs="Times New Roman"/>
          <w:sz w:val="28"/>
          <w:szCs w:val="28"/>
        </w:rPr>
        <w:t xml:space="preserve">В </w:t>
      </w:r>
      <w:r w:rsidR="00095624" w:rsidRPr="0099701E">
        <w:rPr>
          <w:rFonts w:ascii="PT Astra Serif" w:hAnsi="PT Astra Serif" w:cs="Times New Roman"/>
          <w:sz w:val="28"/>
          <w:szCs w:val="28"/>
        </w:rPr>
        <w:t>2020 год</w:t>
      </w:r>
      <w:r w:rsidR="00F26047" w:rsidRPr="0099701E">
        <w:rPr>
          <w:rFonts w:ascii="PT Astra Serif" w:hAnsi="PT Astra Serif" w:cs="Times New Roman"/>
          <w:sz w:val="28"/>
          <w:szCs w:val="28"/>
        </w:rPr>
        <w:t>у</w:t>
      </w:r>
      <w:r w:rsidR="00095624" w:rsidRPr="0099701E">
        <w:rPr>
          <w:rFonts w:ascii="PT Astra Serif" w:hAnsi="PT Astra Serif" w:cs="Times New Roman"/>
          <w:sz w:val="28"/>
          <w:szCs w:val="28"/>
        </w:rPr>
        <w:t xml:space="preserve"> отмечается </w:t>
      </w:r>
      <w:r w:rsidR="00F26047" w:rsidRPr="0099701E">
        <w:rPr>
          <w:rFonts w:ascii="PT Astra Serif" w:hAnsi="PT Astra Serif" w:cs="Times New Roman"/>
          <w:sz w:val="28"/>
          <w:szCs w:val="28"/>
        </w:rPr>
        <w:t xml:space="preserve">повышение </w:t>
      </w:r>
      <w:r w:rsidR="00095624" w:rsidRPr="0099701E">
        <w:rPr>
          <w:rFonts w:ascii="PT Astra Serif" w:hAnsi="PT Astra Serif" w:cs="Times New Roman"/>
          <w:sz w:val="28"/>
          <w:szCs w:val="28"/>
        </w:rPr>
        <w:t xml:space="preserve"> активности,</w:t>
      </w:r>
      <w:r w:rsidR="00F26047" w:rsidRPr="0099701E">
        <w:rPr>
          <w:rFonts w:ascii="PT Astra Serif" w:hAnsi="PT Astra Serif" w:cs="Times New Roman"/>
          <w:sz w:val="28"/>
          <w:szCs w:val="28"/>
        </w:rPr>
        <w:t xml:space="preserve"> количество обращений увеличилось </w:t>
      </w:r>
      <w:r w:rsidR="00095624" w:rsidRPr="0099701E">
        <w:rPr>
          <w:rFonts w:ascii="PT Astra Serif" w:hAnsi="PT Astra Serif" w:cs="Times New Roman"/>
          <w:sz w:val="28"/>
          <w:szCs w:val="28"/>
        </w:rPr>
        <w:t>к</w:t>
      </w:r>
      <w:r w:rsidR="005C5072" w:rsidRPr="0099701E">
        <w:rPr>
          <w:rFonts w:ascii="PT Astra Serif" w:hAnsi="PT Astra Serif" w:cs="Times New Roman"/>
          <w:sz w:val="28"/>
          <w:szCs w:val="28"/>
        </w:rPr>
        <w:t>оличество обращений</w:t>
      </w:r>
      <w:r w:rsidR="00C029F5" w:rsidRPr="0099701E">
        <w:rPr>
          <w:rFonts w:ascii="PT Astra Serif" w:hAnsi="PT Astra Serif" w:cs="Times New Roman"/>
          <w:sz w:val="28"/>
          <w:szCs w:val="28"/>
        </w:rPr>
        <w:t xml:space="preserve"> идет на спад</w:t>
      </w:r>
      <w:r w:rsidR="00095624" w:rsidRPr="0099701E">
        <w:rPr>
          <w:rFonts w:ascii="PT Astra Serif" w:hAnsi="PT Astra Serif" w:cs="Times New Roman"/>
          <w:sz w:val="28"/>
          <w:szCs w:val="28"/>
        </w:rPr>
        <w:t>,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продолжает расти, </w:t>
      </w:r>
      <w:r w:rsidR="0099701E" w:rsidRPr="0099701E">
        <w:rPr>
          <w:rFonts w:ascii="PT Astra Serif" w:hAnsi="PT Astra Serif" w:cs="Times New Roman"/>
          <w:sz w:val="28"/>
          <w:szCs w:val="28"/>
        </w:rPr>
        <w:t>в 2020 году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всего поступило 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5279 </w:t>
      </w:r>
      <w:r w:rsidR="005C5072" w:rsidRPr="0099701E">
        <w:rPr>
          <w:rFonts w:ascii="PT Astra Serif" w:hAnsi="PT Astra Serif" w:cs="Times New Roman"/>
          <w:sz w:val="28"/>
          <w:szCs w:val="28"/>
        </w:rPr>
        <w:t>обращени</w:t>
      </w:r>
      <w:r w:rsidR="0099701E" w:rsidRPr="0099701E">
        <w:rPr>
          <w:rFonts w:ascii="PT Astra Serif" w:hAnsi="PT Astra Serif" w:cs="Times New Roman"/>
          <w:sz w:val="28"/>
          <w:szCs w:val="28"/>
        </w:rPr>
        <w:t>й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, это на 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24% </w:t>
      </w:r>
      <w:r w:rsidR="005C5072" w:rsidRPr="0099701E">
        <w:rPr>
          <w:rFonts w:ascii="PT Astra Serif" w:hAnsi="PT Astra Serif" w:cs="Times New Roman"/>
          <w:sz w:val="28"/>
          <w:szCs w:val="28"/>
        </w:rPr>
        <w:t xml:space="preserve"> больше, 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чем в </w:t>
      </w:r>
      <w:r w:rsidR="005C5072" w:rsidRPr="0099701E">
        <w:rPr>
          <w:rFonts w:ascii="PT Astra Serif" w:hAnsi="PT Astra Serif" w:cs="Times New Roman"/>
          <w:sz w:val="28"/>
          <w:szCs w:val="28"/>
        </w:rPr>
        <w:t>2019 год</w:t>
      </w:r>
      <w:r w:rsidR="0099701E" w:rsidRPr="0099701E">
        <w:rPr>
          <w:rFonts w:ascii="PT Astra Serif" w:hAnsi="PT Astra Serif" w:cs="Times New Roman"/>
          <w:sz w:val="28"/>
          <w:szCs w:val="28"/>
        </w:rPr>
        <w:t xml:space="preserve">у  (3998обращений). </w:t>
      </w:r>
      <w:r w:rsidR="005C5072" w:rsidRPr="0099701E">
        <w:rPr>
          <w:rFonts w:ascii="PT Astra Serif" w:hAnsi="PT Astra Serif" w:cs="Times New Roman"/>
          <w:sz w:val="28"/>
          <w:szCs w:val="28"/>
        </w:rPr>
        <w:t>Повышение активности граждан объясняется сложной эпидемиологической ситуацией и увеличением перечня оказываемых услуг.</w:t>
      </w:r>
    </w:p>
    <w:p w:rsidR="0029789A" w:rsidRDefault="0029789A" w:rsidP="00092A2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9789A" w:rsidRPr="004E1BD7" w:rsidRDefault="0029789A" w:rsidP="0029789A">
      <w:pPr>
        <w:pStyle w:val="ac"/>
        <w:shd w:val="clear" w:color="auto" w:fill="FFFFFF"/>
        <w:spacing w:before="0" w:beforeAutospacing="0" w:after="450" w:afterAutospacing="0"/>
        <w:jc w:val="center"/>
        <w:rPr>
          <w:color w:val="333333"/>
          <w:sz w:val="28"/>
          <w:szCs w:val="28"/>
        </w:rPr>
      </w:pPr>
      <w:r w:rsidRPr="004E1BD7">
        <w:rPr>
          <w:rStyle w:val="ad"/>
          <w:color w:val="333333"/>
          <w:sz w:val="28"/>
          <w:szCs w:val="28"/>
        </w:rPr>
        <w:lastRenderedPageBreak/>
        <w:t>Распределение нагрузки структурных подразделений Министерства семейной,</w:t>
      </w:r>
      <w:r>
        <w:rPr>
          <w:rStyle w:val="ad"/>
          <w:color w:val="333333"/>
          <w:sz w:val="28"/>
          <w:szCs w:val="28"/>
        </w:rPr>
        <w:t xml:space="preserve"> </w:t>
      </w:r>
      <w:r w:rsidRPr="004E1BD7">
        <w:rPr>
          <w:rStyle w:val="ad"/>
          <w:color w:val="333333"/>
          <w:sz w:val="28"/>
          <w:szCs w:val="28"/>
        </w:rPr>
        <w:t>демографической политики и социального благополучия Ульяновской</w:t>
      </w:r>
      <w:r>
        <w:rPr>
          <w:rStyle w:val="ad"/>
          <w:color w:val="333333"/>
          <w:sz w:val="28"/>
          <w:szCs w:val="28"/>
        </w:rPr>
        <w:t xml:space="preserve"> </w:t>
      </w:r>
      <w:r w:rsidRPr="004E1BD7">
        <w:rPr>
          <w:rStyle w:val="ad"/>
          <w:color w:val="333333"/>
          <w:sz w:val="28"/>
          <w:szCs w:val="28"/>
        </w:rPr>
        <w:t>области  по рассмотрению обращений граждан</w:t>
      </w:r>
    </w:p>
    <w:p w:rsidR="0029789A" w:rsidRPr="004E1BD7" w:rsidRDefault="0029789A" w:rsidP="0029789A">
      <w:pPr>
        <w:pStyle w:val="ac"/>
        <w:shd w:val="clear" w:color="auto" w:fill="FFFFFF"/>
        <w:spacing w:before="0" w:beforeAutospacing="0" w:after="450" w:afterAutospacing="0"/>
        <w:ind w:firstLine="708"/>
        <w:jc w:val="both"/>
        <w:rPr>
          <w:color w:val="333333"/>
          <w:sz w:val="28"/>
          <w:szCs w:val="28"/>
        </w:rPr>
      </w:pPr>
      <w:r w:rsidRPr="004E1BD7">
        <w:rPr>
          <w:color w:val="333333"/>
          <w:sz w:val="28"/>
          <w:szCs w:val="28"/>
        </w:rPr>
        <w:t xml:space="preserve">В период с 1 </w:t>
      </w:r>
      <w:r w:rsidR="00CF3230">
        <w:rPr>
          <w:color w:val="333333"/>
          <w:sz w:val="28"/>
          <w:szCs w:val="28"/>
        </w:rPr>
        <w:t xml:space="preserve">апреля </w:t>
      </w:r>
      <w:r w:rsidRPr="004E1BD7">
        <w:rPr>
          <w:color w:val="333333"/>
          <w:sz w:val="28"/>
          <w:szCs w:val="28"/>
        </w:rPr>
        <w:t xml:space="preserve"> по 3</w:t>
      </w:r>
      <w:r>
        <w:rPr>
          <w:color w:val="333333"/>
          <w:sz w:val="28"/>
          <w:szCs w:val="28"/>
        </w:rPr>
        <w:t>1</w:t>
      </w:r>
      <w:r w:rsidRPr="004E1BD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декабря </w:t>
      </w:r>
      <w:r w:rsidRPr="004E1BD7">
        <w:rPr>
          <w:color w:val="333333"/>
          <w:sz w:val="28"/>
          <w:szCs w:val="28"/>
        </w:rPr>
        <w:t xml:space="preserve">2020 года отмечается следующее распределение нагрузки структурных подразделений </w:t>
      </w:r>
      <w:r w:rsidR="002050B9">
        <w:rPr>
          <w:color w:val="333333"/>
          <w:sz w:val="28"/>
          <w:szCs w:val="28"/>
        </w:rPr>
        <w:t xml:space="preserve"> </w:t>
      </w:r>
      <w:proofErr w:type="gramStart"/>
      <w:r w:rsidRPr="004E1BD7">
        <w:rPr>
          <w:color w:val="333333"/>
          <w:sz w:val="28"/>
          <w:szCs w:val="28"/>
        </w:rPr>
        <w:t>Министерства</w:t>
      </w:r>
      <w:proofErr w:type="gramEnd"/>
      <w:r w:rsidRPr="004E1BD7">
        <w:rPr>
          <w:color w:val="333333"/>
          <w:sz w:val="28"/>
          <w:szCs w:val="28"/>
        </w:rPr>
        <w:t xml:space="preserve"> по количеству поступивших на рассмотрение обращений граждан:</w:t>
      </w:r>
    </w:p>
    <w:tbl>
      <w:tblPr>
        <w:tblW w:w="5160" w:type="pct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2"/>
        <w:gridCol w:w="1912"/>
        <w:gridCol w:w="1803"/>
        <w:gridCol w:w="1840"/>
        <w:gridCol w:w="1367"/>
      </w:tblGrid>
      <w:tr w:rsidR="0099701E" w:rsidRPr="00910DD6" w:rsidTr="00937958">
        <w:trPr>
          <w:trHeight w:val="975"/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E93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9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 2020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9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 2020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E93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 2020</w:t>
            </w:r>
          </w:p>
          <w:p w:rsidR="0099701E" w:rsidRPr="00CF3230" w:rsidRDefault="0099701E" w:rsidP="0029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9701E" w:rsidRPr="00CF3230" w:rsidRDefault="0099701E" w:rsidP="002978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E93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методологии и организации социальной поддержки населения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(11%)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(19%)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(11%)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охраны прав несовершеннолетних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(4%)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(4%)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семейной  и демографической политики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(11%)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(5%)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(7%)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административного обеспечения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(8%)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(8%)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(10%)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благополучия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(12%)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127(8%)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(10%)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(23%)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21(1%)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 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(3%)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42(3%)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(4%)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9F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«ЕОЦСВ»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(2%)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УОГКУСЗН по Ульяновской области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 (48%)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 (50%)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(50%)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9F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3127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01E" w:rsidRPr="00CF3230" w:rsidRDefault="0099701E" w:rsidP="00282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информационно-аналитической работы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(1%)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(1%)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9F20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F2025"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(0%)</w:t>
            </w:r>
          </w:p>
        </w:tc>
      </w:tr>
      <w:tr w:rsidR="0099701E" w:rsidRPr="00925F96" w:rsidTr="00937958">
        <w:trPr>
          <w:tblCellSpacing w:w="0" w:type="dxa"/>
        </w:trPr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701E" w:rsidRPr="00CF3230" w:rsidRDefault="0099701E" w:rsidP="002B3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</w:tr>
    </w:tbl>
    <w:p w:rsidR="0029789A" w:rsidRPr="003143C4" w:rsidRDefault="0029789A" w:rsidP="003143C4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A59F62E" wp14:editId="48463A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29375" cy="817245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93352" w:rsidRPr="003942C2" w:rsidRDefault="00C62268" w:rsidP="00282076">
      <w:pPr>
        <w:widowControl w:val="0"/>
        <w:tabs>
          <w:tab w:val="left" w:pos="900"/>
        </w:tabs>
        <w:spacing w:line="23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009B7"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</w:t>
      </w:r>
      <w:r w:rsidR="00F762DA">
        <w:rPr>
          <w:rFonts w:ascii="PT Astra Serif" w:hAnsi="PT Astra Serif"/>
          <w:sz w:val="28"/>
          <w:szCs w:val="28"/>
        </w:rPr>
        <w:t xml:space="preserve"> </w:t>
      </w:r>
      <w:r w:rsidR="00F009B7">
        <w:rPr>
          <w:rFonts w:ascii="PT Astra Serif" w:hAnsi="PT Astra Serif"/>
          <w:sz w:val="28"/>
          <w:szCs w:val="28"/>
        </w:rPr>
        <w:t xml:space="preserve">при личном обращении. </w:t>
      </w:r>
      <w:r w:rsidR="00534AFD">
        <w:rPr>
          <w:rFonts w:ascii="PT Astra Serif" w:hAnsi="PT Astra Serif" w:cs="Times New Roman"/>
          <w:sz w:val="28"/>
          <w:szCs w:val="28"/>
        </w:rPr>
        <w:t>Каждое</w:t>
      </w:r>
      <w:r w:rsidR="00FE7464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534AFD">
        <w:rPr>
          <w:rFonts w:ascii="PT Astra Serif" w:hAnsi="PT Astra Serif" w:cs="Times New Roman"/>
          <w:sz w:val="28"/>
          <w:szCs w:val="28"/>
        </w:rPr>
        <w:t>е</w:t>
      </w:r>
      <w:r w:rsidR="00FE7464">
        <w:rPr>
          <w:rFonts w:ascii="PT Astra Serif" w:hAnsi="PT Astra Serif" w:cs="Times New Roman"/>
          <w:sz w:val="28"/>
          <w:szCs w:val="28"/>
        </w:rPr>
        <w:t>, поступившие в Министерство, рассмотрен</w:t>
      </w:r>
      <w:r w:rsidR="00534AFD">
        <w:rPr>
          <w:rFonts w:ascii="PT Astra Serif" w:hAnsi="PT Astra Serif" w:cs="Times New Roman"/>
          <w:sz w:val="28"/>
          <w:szCs w:val="28"/>
        </w:rPr>
        <w:t>о</w:t>
      </w:r>
      <w:r w:rsidR="00FE7464">
        <w:rPr>
          <w:rFonts w:ascii="PT Astra Serif" w:hAnsi="PT Astra Serif" w:cs="Times New Roman"/>
          <w:sz w:val="28"/>
          <w:szCs w:val="28"/>
        </w:rPr>
        <w:t xml:space="preserve"> руководством Министерства</w:t>
      </w:r>
      <w:r w:rsidR="00F009B7">
        <w:rPr>
          <w:rFonts w:ascii="PT Astra Serif" w:hAnsi="PT Astra Serif" w:cs="Times New Roman"/>
          <w:sz w:val="28"/>
          <w:szCs w:val="28"/>
        </w:rPr>
        <w:t>, по каждому обращению (жалобе) подготовлены и направлены ответы в установленный законом срок.</w:t>
      </w:r>
      <w:r w:rsidR="00FE0E92">
        <w:rPr>
          <w:rFonts w:ascii="PT Astra Serif" w:hAnsi="PT Astra Serif" w:cs="Times New Roman"/>
          <w:sz w:val="28"/>
          <w:szCs w:val="28"/>
        </w:rPr>
        <w:t xml:space="preserve"> </w:t>
      </w:r>
    </w:p>
    <w:sectPr w:rsidR="00E93352" w:rsidRPr="003942C2" w:rsidSect="00C62268">
      <w:headerReference w:type="default" r:id="rId16"/>
      <w:pgSz w:w="11906" w:h="16838"/>
      <w:pgMar w:top="0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B" w:rsidRDefault="00CE0A6B" w:rsidP="00AC5C29">
      <w:pPr>
        <w:spacing w:after="0" w:line="240" w:lineRule="auto"/>
      </w:pPr>
      <w:r>
        <w:separator/>
      </w:r>
    </w:p>
  </w:endnote>
  <w:endnote w:type="continuationSeparator" w:id="0">
    <w:p w:rsidR="00CE0A6B" w:rsidRDefault="00CE0A6B" w:rsidP="00A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B" w:rsidRDefault="00CE0A6B" w:rsidP="00AC5C29">
      <w:pPr>
        <w:spacing w:after="0" w:line="240" w:lineRule="auto"/>
      </w:pPr>
      <w:r>
        <w:separator/>
      </w:r>
    </w:p>
  </w:footnote>
  <w:footnote w:type="continuationSeparator" w:id="0">
    <w:p w:rsidR="00CE0A6B" w:rsidRDefault="00CE0A6B" w:rsidP="00A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619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13F2" w:rsidRDefault="002A13F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50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50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268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050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13F2" w:rsidRDefault="002A13F2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2A13F2" w:rsidRPr="00E050B8" w:rsidRDefault="002A13F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629"/>
    <w:multiLevelType w:val="hybridMultilevel"/>
    <w:tmpl w:val="39E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77B10"/>
    <w:multiLevelType w:val="hybridMultilevel"/>
    <w:tmpl w:val="16A8AD60"/>
    <w:lvl w:ilvl="0" w:tplc="50705B3A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A73F03"/>
    <w:multiLevelType w:val="hybridMultilevel"/>
    <w:tmpl w:val="1F22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3559"/>
    <w:multiLevelType w:val="hybridMultilevel"/>
    <w:tmpl w:val="9DD22E0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8"/>
    <w:rsid w:val="000030FB"/>
    <w:rsid w:val="00004784"/>
    <w:rsid w:val="00004E01"/>
    <w:rsid w:val="000114E8"/>
    <w:rsid w:val="00012B31"/>
    <w:rsid w:val="00013195"/>
    <w:rsid w:val="00016F65"/>
    <w:rsid w:val="00020EB2"/>
    <w:rsid w:val="00021F6A"/>
    <w:rsid w:val="00023BBC"/>
    <w:rsid w:val="00023E74"/>
    <w:rsid w:val="00024304"/>
    <w:rsid w:val="00024CBF"/>
    <w:rsid w:val="00025C1D"/>
    <w:rsid w:val="00026225"/>
    <w:rsid w:val="0002767B"/>
    <w:rsid w:val="00027692"/>
    <w:rsid w:val="0003052D"/>
    <w:rsid w:val="0003546F"/>
    <w:rsid w:val="00035944"/>
    <w:rsid w:val="00036235"/>
    <w:rsid w:val="0003715B"/>
    <w:rsid w:val="000466BC"/>
    <w:rsid w:val="00047C8E"/>
    <w:rsid w:val="00052A48"/>
    <w:rsid w:val="00053967"/>
    <w:rsid w:val="00054A39"/>
    <w:rsid w:val="00056B63"/>
    <w:rsid w:val="00062653"/>
    <w:rsid w:val="000662EC"/>
    <w:rsid w:val="000665AF"/>
    <w:rsid w:val="00067201"/>
    <w:rsid w:val="00067322"/>
    <w:rsid w:val="00067C92"/>
    <w:rsid w:val="00071BDE"/>
    <w:rsid w:val="00077AA8"/>
    <w:rsid w:val="0008292F"/>
    <w:rsid w:val="00084C24"/>
    <w:rsid w:val="00085DAD"/>
    <w:rsid w:val="00086321"/>
    <w:rsid w:val="00092A23"/>
    <w:rsid w:val="00093120"/>
    <w:rsid w:val="00095624"/>
    <w:rsid w:val="000A136C"/>
    <w:rsid w:val="000A18B1"/>
    <w:rsid w:val="000B13A2"/>
    <w:rsid w:val="000B334B"/>
    <w:rsid w:val="000B4675"/>
    <w:rsid w:val="000B4717"/>
    <w:rsid w:val="000B5330"/>
    <w:rsid w:val="000C2250"/>
    <w:rsid w:val="000C36A9"/>
    <w:rsid w:val="000C4D8C"/>
    <w:rsid w:val="000C65C1"/>
    <w:rsid w:val="000D05D4"/>
    <w:rsid w:val="000D1BB9"/>
    <w:rsid w:val="000D1F40"/>
    <w:rsid w:val="000D7476"/>
    <w:rsid w:val="000D780C"/>
    <w:rsid w:val="000D7A15"/>
    <w:rsid w:val="000E0300"/>
    <w:rsid w:val="000E062B"/>
    <w:rsid w:val="000E4CF6"/>
    <w:rsid w:val="000E71C2"/>
    <w:rsid w:val="000F3487"/>
    <w:rsid w:val="000F3535"/>
    <w:rsid w:val="000F5FC1"/>
    <w:rsid w:val="001004D4"/>
    <w:rsid w:val="00110FD4"/>
    <w:rsid w:val="0011342B"/>
    <w:rsid w:val="00113603"/>
    <w:rsid w:val="0011493C"/>
    <w:rsid w:val="00114C50"/>
    <w:rsid w:val="00115946"/>
    <w:rsid w:val="00117255"/>
    <w:rsid w:val="001178DE"/>
    <w:rsid w:val="0012332B"/>
    <w:rsid w:val="00123426"/>
    <w:rsid w:val="00124028"/>
    <w:rsid w:val="00126B2A"/>
    <w:rsid w:val="00126FD8"/>
    <w:rsid w:val="001270D0"/>
    <w:rsid w:val="00133B3B"/>
    <w:rsid w:val="001407F3"/>
    <w:rsid w:val="00145982"/>
    <w:rsid w:val="00146DB1"/>
    <w:rsid w:val="00147A38"/>
    <w:rsid w:val="001513D0"/>
    <w:rsid w:val="00152926"/>
    <w:rsid w:val="00154C8F"/>
    <w:rsid w:val="00157351"/>
    <w:rsid w:val="00161321"/>
    <w:rsid w:val="00163C6D"/>
    <w:rsid w:val="00165A9F"/>
    <w:rsid w:val="00170487"/>
    <w:rsid w:val="00172B77"/>
    <w:rsid w:val="00176C28"/>
    <w:rsid w:val="00181673"/>
    <w:rsid w:val="00183DB1"/>
    <w:rsid w:val="001853C8"/>
    <w:rsid w:val="00186ACA"/>
    <w:rsid w:val="00191D45"/>
    <w:rsid w:val="001939D5"/>
    <w:rsid w:val="00193A7E"/>
    <w:rsid w:val="001962F0"/>
    <w:rsid w:val="00196C92"/>
    <w:rsid w:val="00197EEB"/>
    <w:rsid w:val="001A011F"/>
    <w:rsid w:val="001A5220"/>
    <w:rsid w:val="001A7D36"/>
    <w:rsid w:val="001B0B61"/>
    <w:rsid w:val="001B1E00"/>
    <w:rsid w:val="001C45FA"/>
    <w:rsid w:val="001C4EE5"/>
    <w:rsid w:val="001C5924"/>
    <w:rsid w:val="001C5AF8"/>
    <w:rsid w:val="001C7239"/>
    <w:rsid w:val="001D02C1"/>
    <w:rsid w:val="001D2A56"/>
    <w:rsid w:val="001D461B"/>
    <w:rsid w:val="001D68B2"/>
    <w:rsid w:val="001D69B3"/>
    <w:rsid w:val="001E0636"/>
    <w:rsid w:val="001E6841"/>
    <w:rsid w:val="001E6C24"/>
    <w:rsid w:val="001E735E"/>
    <w:rsid w:val="001F1B7C"/>
    <w:rsid w:val="001F2146"/>
    <w:rsid w:val="001F6E88"/>
    <w:rsid w:val="002050B9"/>
    <w:rsid w:val="00205523"/>
    <w:rsid w:val="0020752D"/>
    <w:rsid w:val="00211A32"/>
    <w:rsid w:val="00213D03"/>
    <w:rsid w:val="00215326"/>
    <w:rsid w:val="00215372"/>
    <w:rsid w:val="002153BE"/>
    <w:rsid w:val="00220C24"/>
    <w:rsid w:val="002214AD"/>
    <w:rsid w:val="002230F5"/>
    <w:rsid w:val="00232C03"/>
    <w:rsid w:val="00233D9F"/>
    <w:rsid w:val="00235DFE"/>
    <w:rsid w:val="002367D9"/>
    <w:rsid w:val="00240CD7"/>
    <w:rsid w:val="002418BC"/>
    <w:rsid w:val="00243C83"/>
    <w:rsid w:val="00244600"/>
    <w:rsid w:val="0024604B"/>
    <w:rsid w:val="00257D2F"/>
    <w:rsid w:val="00260915"/>
    <w:rsid w:val="002656F3"/>
    <w:rsid w:val="002672D7"/>
    <w:rsid w:val="00267C2A"/>
    <w:rsid w:val="002736D7"/>
    <w:rsid w:val="002750F1"/>
    <w:rsid w:val="002819CC"/>
    <w:rsid w:val="00282076"/>
    <w:rsid w:val="00291041"/>
    <w:rsid w:val="00291072"/>
    <w:rsid w:val="002916C1"/>
    <w:rsid w:val="00292A07"/>
    <w:rsid w:val="0029789A"/>
    <w:rsid w:val="002A13F2"/>
    <w:rsid w:val="002A4431"/>
    <w:rsid w:val="002B2DD4"/>
    <w:rsid w:val="002B3634"/>
    <w:rsid w:val="002B52D7"/>
    <w:rsid w:val="002B5E07"/>
    <w:rsid w:val="002B689B"/>
    <w:rsid w:val="002C12F5"/>
    <w:rsid w:val="002C7598"/>
    <w:rsid w:val="002D1016"/>
    <w:rsid w:val="002D19C5"/>
    <w:rsid w:val="002D66C1"/>
    <w:rsid w:val="002D6B5F"/>
    <w:rsid w:val="002D7F13"/>
    <w:rsid w:val="002E1763"/>
    <w:rsid w:val="002E1A46"/>
    <w:rsid w:val="002E22B9"/>
    <w:rsid w:val="002E584E"/>
    <w:rsid w:val="002F0CE7"/>
    <w:rsid w:val="002F0D82"/>
    <w:rsid w:val="002F4758"/>
    <w:rsid w:val="002F6225"/>
    <w:rsid w:val="00301B12"/>
    <w:rsid w:val="0030255D"/>
    <w:rsid w:val="003044C9"/>
    <w:rsid w:val="003049BD"/>
    <w:rsid w:val="00304A07"/>
    <w:rsid w:val="003070F4"/>
    <w:rsid w:val="0030753C"/>
    <w:rsid w:val="00312B19"/>
    <w:rsid w:val="00313467"/>
    <w:rsid w:val="003140E5"/>
    <w:rsid w:val="003143C4"/>
    <w:rsid w:val="003149F8"/>
    <w:rsid w:val="00316781"/>
    <w:rsid w:val="00317A24"/>
    <w:rsid w:val="0032050B"/>
    <w:rsid w:val="00323B7C"/>
    <w:rsid w:val="00326403"/>
    <w:rsid w:val="00332BC2"/>
    <w:rsid w:val="00333544"/>
    <w:rsid w:val="0033364A"/>
    <w:rsid w:val="00334E59"/>
    <w:rsid w:val="00336356"/>
    <w:rsid w:val="00337F24"/>
    <w:rsid w:val="00343EDA"/>
    <w:rsid w:val="00344B8E"/>
    <w:rsid w:val="003469C5"/>
    <w:rsid w:val="00350B8D"/>
    <w:rsid w:val="0035348A"/>
    <w:rsid w:val="00356098"/>
    <w:rsid w:val="00356AAA"/>
    <w:rsid w:val="00356EC3"/>
    <w:rsid w:val="00357998"/>
    <w:rsid w:val="00360BFC"/>
    <w:rsid w:val="003674B5"/>
    <w:rsid w:val="003707D3"/>
    <w:rsid w:val="003723E1"/>
    <w:rsid w:val="00377A7C"/>
    <w:rsid w:val="00377BAE"/>
    <w:rsid w:val="003820E3"/>
    <w:rsid w:val="00386C46"/>
    <w:rsid w:val="00386D42"/>
    <w:rsid w:val="003908CC"/>
    <w:rsid w:val="00390B20"/>
    <w:rsid w:val="0039130D"/>
    <w:rsid w:val="00391600"/>
    <w:rsid w:val="00391ED9"/>
    <w:rsid w:val="00394221"/>
    <w:rsid w:val="00394AC6"/>
    <w:rsid w:val="003961B1"/>
    <w:rsid w:val="003963F3"/>
    <w:rsid w:val="0039641B"/>
    <w:rsid w:val="00396C80"/>
    <w:rsid w:val="003974E9"/>
    <w:rsid w:val="003A1F92"/>
    <w:rsid w:val="003B361D"/>
    <w:rsid w:val="003C0606"/>
    <w:rsid w:val="003C0AB3"/>
    <w:rsid w:val="003C3A8F"/>
    <w:rsid w:val="003C55FC"/>
    <w:rsid w:val="003D09EB"/>
    <w:rsid w:val="003D0C60"/>
    <w:rsid w:val="003D115D"/>
    <w:rsid w:val="003D26DB"/>
    <w:rsid w:val="003D7072"/>
    <w:rsid w:val="003D7699"/>
    <w:rsid w:val="003E0431"/>
    <w:rsid w:val="003E1C97"/>
    <w:rsid w:val="003E2121"/>
    <w:rsid w:val="003E2805"/>
    <w:rsid w:val="003F0DDC"/>
    <w:rsid w:val="003F7773"/>
    <w:rsid w:val="0040173A"/>
    <w:rsid w:val="00412B76"/>
    <w:rsid w:val="00413F13"/>
    <w:rsid w:val="00420A65"/>
    <w:rsid w:val="004235F2"/>
    <w:rsid w:val="00424DAB"/>
    <w:rsid w:val="004261E4"/>
    <w:rsid w:val="00431D17"/>
    <w:rsid w:val="004345D5"/>
    <w:rsid w:val="00434A48"/>
    <w:rsid w:val="00436D04"/>
    <w:rsid w:val="00436E96"/>
    <w:rsid w:val="004372BA"/>
    <w:rsid w:val="00440881"/>
    <w:rsid w:val="004411A7"/>
    <w:rsid w:val="0044317E"/>
    <w:rsid w:val="0045269B"/>
    <w:rsid w:val="00457A59"/>
    <w:rsid w:val="004617ED"/>
    <w:rsid w:val="0046374C"/>
    <w:rsid w:val="004665D5"/>
    <w:rsid w:val="00471164"/>
    <w:rsid w:val="004737DD"/>
    <w:rsid w:val="00473E18"/>
    <w:rsid w:val="00476B7F"/>
    <w:rsid w:val="00480FA2"/>
    <w:rsid w:val="004830CD"/>
    <w:rsid w:val="004864E3"/>
    <w:rsid w:val="00486660"/>
    <w:rsid w:val="00486A85"/>
    <w:rsid w:val="00490FF8"/>
    <w:rsid w:val="0049129A"/>
    <w:rsid w:val="00493797"/>
    <w:rsid w:val="004A5759"/>
    <w:rsid w:val="004A6E92"/>
    <w:rsid w:val="004B5281"/>
    <w:rsid w:val="004C03D1"/>
    <w:rsid w:val="004C448C"/>
    <w:rsid w:val="004D430E"/>
    <w:rsid w:val="004D4B8D"/>
    <w:rsid w:val="004D7574"/>
    <w:rsid w:val="004E2348"/>
    <w:rsid w:val="004E2946"/>
    <w:rsid w:val="004E37ED"/>
    <w:rsid w:val="004E3CAB"/>
    <w:rsid w:val="004E67E8"/>
    <w:rsid w:val="004E6D40"/>
    <w:rsid w:val="004F00FA"/>
    <w:rsid w:val="004F2791"/>
    <w:rsid w:val="004F5850"/>
    <w:rsid w:val="00502CB2"/>
    <w:rsid w:val="005036D4"/>
    <w:rsid w:val="00505D6C"/>
    <w:rsid w:val="005111A2"/>
    <w:rsid w:val="00522767"/>
    <w:rsid w:val="0052279B"/>
    <w:rsid w:val="00523514"/>
    <w:rsid w:val="00524083"/>
    <w:rsid w:val="0053285F"/>
    <w:rsid w:val="0053357F"/>
    <w:rsid w:val="00534AFD"/>
    <w:rsid w:val="0054004D"/>
    <w:rsid w:val="00543A6E"/>
    <w:rsid w:val="00545188"/>
    <w:rsid w:val="00550012"/>
    <w:rsid w:val="0055535E"/>
    <w:rsid w:val="00555C0D"/>
    <w:rsid w:val="00560DCC"/>
    <w:rsid w:val="00564E4B"/>
    <w:rsid w:val="00575341"/>
    <w:rsid w:val="005821B2"/>
    <w:rsid w:val="00594249"/>
    <w:rsid w:val="005954F1"/>
    <w:rsid w:val="005A477F"/>
    <w:rsid w:val="005B371E"/>
    <w:rsid w:val="005B3C3F"/>
    <w:rsid w:val="005B6F5B"/>
    <w:rsid w:val="005B72A0"/>
    <w:rsid w:val="005C0093"/>
    <w:rsid w:val="005C48CD"/>
    <w:rsid w:val="005C5072"/>
    <w:rsid w:val="005D55C8"/>
    <w:rsid w:val="005D6BF5"/>
    <w:rsid w:val="005D76BD"/>
    <w:rsid w:val="005E07DF"/>
    <w:rsid w:val="005E2095"/>
    <w:rsid w:val="005F42A7"/>
    <w:rsid w:val="005F4E51"/>
    <w:rsid w:val="00600295"/>
    <w:rsid w:val="00602B65"/>
    <w:rsid w:val="00604593"/>
    <w:rsid w:val="00604CC3"/>
    <w:rsid w:val="00605CAC"/>
    <w:rsid w:val="00612EB5"/>
    <w:rsid w:val="006154AC"/>
    <w:rsid w:val="006171A2"/>
    <w:rsid w:val="00620E56"/>
    <w:rsid w:val="00621F9B"/>
    <w:rsid w:val="00622279"/>
    <w:rsid w:val="00622659"/>
    <w:rsid w:val="00625247"/>
    <w:rsid w:val="006341D0"/>
    <w:rsid w:val="006358D6"/>
    <w:rsid w:val="00635BC4"/>
    <w:rsid w:val="006368B6"/>
    <w:rsid w:val="00637B32"/>
    <w:rsid w:val="00637D80"/>
    <w:rsid w:val="00640426"/>
    <w:rsid w:val="00641705"/>
    <w:rsid w:val="00641A15"/>
    <w:rsid w:val="006474EC"/>
    <w:rsid w:val="00651FB2"/>
    <w:rsid w:val="00660601"/>
    <w:rsid w:val="00663F6A"/>
    <w:rsid w:val="00666B17"/>
    <w:rsid w:val="00673180"/>
    <w:rsid w:val="00676CC1"/>
    <w:rsid w:val="00681817"/>
    <w:rsid w:val="006825AF"/>
    <w:rsid w:val="006916E9"/>
    <w:rsid w:val="00693048"/>
    <w:rsid w:val="00694338"/>
    <w:rsid w:val="00694D04"/>
    <w:rsid w:val="006A2C93"/>
    <w:rsid w:val="006A3E1D"/>
    <w:rsid w:val="006A458F"/>
    <w:rsid w:val="006B3E57"/>
    <w:rsid w:val="006B5C8E"/>
    <w:rsid w:val="006B7A58"/>
    <w:rsid w:val="006C06D8"/>
    <w:rsid w:val="006C08A0"/>
    <w:rsid w:val="006C1250"/>
    <w:rsid w:val="006C2C82"/>
    <w:rsid w:val="006C5FAE"/>
    <w:rsid w:val="006C611F"/>
    <w:rsid w:val="006C6D6A"/>
    <w:rsid w:val="006D1E12"/>
    <w:rsid w:val="006E1121"/>
    <w:rsid w:val="006E119D"/>
    <w:rsid w:val="006E3702"/>
    <w:rsid w:val="006E5BAB"/>
    <w:rsid w:val="006E67CA"/>
    <w:rsid w:val="006E78A3"/>
    <w:rsid w:val="006E7F97"/>
    <w:rsid w:val="006F0BAB"/>
    <w:rsid w:val="006F43D2"/>
    <w:rsid w:val="006F5132"/>
    <w:rsid w:val="006F5590"/>
    <w:rsid w:val="006F59A3"/>
    <w:rsid w:val="006F7979"/>
    <w:rsid w:val="00702C7E"/>
    <w:rsid w:val="00704473"/>
    <w:rsid w:val="007046F2"/>
    <w:rsid w:val="00704FB8"/>
    <w:rsid w:val="0070562E"/>
    <w:rsid w:val="0071545C"/>
    <w:rsid w:val="007208A7"/>
    <w:rsid w:val="00721A18"/>
    <w:rsid w:val="00722C90"/>
    <w:rsid w:val="00726422"/>
    <w:rsid w:val="00731327"/>
    <w:rsid w:val="00736C8E"/>
    <w:rsid w:val="00744D67"/>
    <w:rsid w:val="00751360"/>
    <w:rsid w:val="007616C5"/>
    <w:rsid w:val="00762244"/>
    <w:rsid w:val="007664C6"/>
    <w:rsid w:val="00766C04"/>
    <w:rsid w:val="007704B1"/>
    <w:rsid w:val="00771758"/>
    <w:rsid w:val="00772055"/>
    <w:rsid w:val="00775AA1"/>
    <w:rsid w:val="0078052E"/>
    <w:rsid w:val="00784505"/>
    <w:rsid w:val="0078684F"/>
    <w:rsid w:val="00793459"/>
    <w:rsid w:val="007943DB"/>
    <w:rsid w:val="00797BEB"/>
    <w:rsid w:val="007B4202"/>
    <w:rsid w:val="007B7B63"/>
    <w:rsid w:val="007C2B28"/>
    <w:rsid w:val="007C7DB5"/>
    <w:rsid w:val="007D0DAD"/>
    <w:rsid w:val="007D4100"/>
    <w:rsid w:val="007D69D6"/>
    <w:rsid w:val="007D70A2"/>
    <w:rsid w:val="007E0415"/>
    <w:rsid w:val="007E1C03"/>
    <w:rsid w:val="007E3C05"/>
    <w:rsid w:val="007E592D"/>
    <w:rsid w:val="007E79A8"/>
    <w:rsid w:val="007F43FA"/>
    <w:rsid w:val="007F4733"/>
    <w:rsid w:val="007F4D5B"/>
    <w:rsid w:val="007F5E35"/>
    <w:rsid w:val="007F6148"/>
    <w:rsid w:val="007F7593"/>
    <w:rsid w:val="008002F5"/>
    <w:rsid w:val="008006CD"/>
    <w:rsid w:val="00800782"/>
    <w:rsid w:val="00800937"/>
    <w:rsid w:val="00804761"/>
    <w:rsid w:val="00804A91"/>
    <w:rsid w:val="00806741"/>
    <w:rsid w:val="00807464"/>
    <w:rsid w:val="008079B8"/>
    <w:rsid w:val="00811CD6"/>
    <w:rsid w:val="0081376D"/>
    <w:rsid w:val="00814C98"/>
    <w:rsid w:val="00815994"/>
    <w:rsid w:val="008169B7"/>
    <w:rsid w:val="00820544"/>
    <w:rsid w:val="00820927"/>
    <w:rsid w:val="008222BA"/>
    <w:rsid w:val="00834A24"/>
    <w:rsid w:val="0083514E"/>
    <w:rsid w:val="008411D9"/>
    <w:rsid w:val="00843082"/>
    <w:rsid w:val="00843F4E"/>
    <w:rsid w:val="00846F8B"/>
    <w:rsid w:val="00852067"/>
    <w:rsid w:val="00852BA8"/>
    <w:rsid w:val="00862AA7"/>
    <w:rsid w:val="008635AF"/>
    <w:rsid w:val="00864807"/>
    <w:rsid w:val="008671A9"/>
    <w:rsid w:val="00874E4B"/>
    <w:rsid w:val="008759A1"/>
    <w:rsid w:val="008808F2"/>
    <w:rsid w:val="008811AD"/>
    <w:rsid w:val="00884C61"/>
    <w:rsid w:val="00885328"/>
    <w:rsid w:val="0088683C"/>
    <w:rsid w:val="00893FAB"/>
    <w:rsid w:val="008961F5"/>
    <w:rsid w:val="00896FBC"/>
    <w:rsid w:val="008A205B"/>
    <w:rsid w:val="008A4643"/>
    <w:rsid w:val="008A57E4"/>
    <w:rsid w:val="008A5E17"/>
    <w:rsid w:val="008A5E6D"/>
    <w:rsid w:val="008A696B"/>
    <w:rsid w:val="008A6B2D"/>
    <w:rsid w:val="008A7E74"/>
    <w:rsid w:val="008B293B"/>
    <w:rsid w:val="008B4561"/>
    <w:rsid w:val="008B6559"/>
    <w:rsid w:val="008B68FC"/>
    <w:rsid w:val="008B7A45"/>
    <w:rsid w:val="008C2CD2"/>
    <w:rsid w:val="008C3643"/>
    <w:rsid w:val="008C4915"/>
    <w:rsid w:val="008C7F03"/>
    <w:rsid w:val="008D2850"/>
    <w:rsid w:val="008D3E09"/>
    <w:rsid w:val="008D5DD1"/>
    <w:rsid w:val="008E128C"/>
    <w:rsid w:val="008E2112"/>
    <w:rsid w:val="008E4516"/>
    <w:rsid w:val="008F00F5"/>
    <w:rsid w:val="008F64DB"/>
    <w:rsid w:val="008F660B"/>
    <w:rsid w:val="008F6F19"/>
    <w:rsid w:val="00901537"/>
    <w:rsid w:val="00901CD8"/>
    <w:rsid w:val="00901E4E"/>
    <w:rsid w:val="00902474"/>
    <w:rsid w:val="00905EB5"/>
    <w:rsid w:val="0091072A"/>
    <w:rsid w:val="009114E0"/>
    <w:rsid w:val="00911F62"/>
    <w:rsid w:val="0091793C"/>
    <w:rsid w:val="00920811"/>
    <w:rsid w:val="00921CD6"/>
    <w:rsid w:val="009248C2"/>
    <w:rsid w:val="00926DD9"/>
    <w:rsid w:val="00932DC1"/>
    <w:rsid w:val="00936A47"/>
    <w:rsid w:val="00936C21"/>
    <w:rsid w:val="00937958"/>
    <w:rsid w:val="00941000"/>
    <w:rsid w:val="009414B1"/>
    <w:rsid w:val="009512EB"/>
    <w:rsid w:val="00954744"/>
    <w:rsid w:val="00954BFA"/>
    <w:rsid w:val="0095715D"/>
    <w:rsid w:val="00964534"/>
    <w:rsid w:val="00971B65"/>
    <w:rsid w:val="00972F47"/>
    <w:rsid w:val="00974944"/>
    <w:rsid w:val="009772D4"/>
    <w:rsid w:val="00980199"/>
    <w:rsid w:val="00980F6B"/>
    <w:rsid w:val="00990F80"/>
    <w:rsid w:val="00991C48"/>
    <w:rsid w:val="00995DCF"/>
    <w:rsid w:val="0099701E"/>
    <w:rsid w:val="009A1CE6"/>
    <w:rsid w:val="009A29F8"/>
    <w:rsid w:val="009A3369"/>
    <w:rsid w:val="009A367F"/>
    <w:rsid w:val="009B04DE"/>
    <w:rsid w:val="009B0F50"/>
    <w:rsid w:val="009B2390"/>
    <w:rsid w:val="009B6C51"/>
    <w:rsid w:val="009B7E94"/>
    <w:rsid w:val="009C086B"/>
    <w:rsid w:val="009C5D6C"/>
    <w:rsid w:val="009C7FC8"/>
    <w:rsid w:val="009D0038"/>
    <w:rsid w:val="009D4CEA"/>
    <w:rsid w:val="009E54EC"/>
    <w:rsid w:val="009F2025"/>
    <w:rsid w:val="00A03FA1"/>
    <w:rsid w:val="00A05EDB"/>
    <w:rsid w:val="00A06646"/>
    <w:rsid w:val="00A118EA"/>
    <w:rsid w:val="00A13387"/>
    <w:rsid w:val="00A138EA"/>
    <w:rsid w:val="00A1722C"/>
    <w:rsid w:val="00A17D09"/>
    <w:rsid w:val="00A21793"/>
    <w:rsid w:val="00A21D33"/>
    <w:rsid w:val="00A2219C"/>
    <w:rsid w:val="00A25B47"/>
    <w:rsid w:val="00A317A1"/>
    <w:rsid w:val="00A33996"/>
    <w:rsid w:val="00A349BF"/>
    <w:rsid w:val="00A36016"/>
    <w:rsid w:val="00A3780B"/>
    <w:rsid w:val="00A43A39"/>
    <w:rsid w:val="00A47702"/>
    <w:rsid w:val="00A50ECA"/>
    <w:rsid w:val="00A51CF2"/>
    <w:rsid w:val="00A535E2"/>
    <w:rsid w:val="00A5578C"/>
    <w:rsid w:val="00A61785"/>
    <w:rsid w:val="00A70F6C"/>
    <w:rsid w:val="00A74CA8"/>
    <w:rsid w:val="00A8184C"/>
    <w:rsid w:val="00A83C7F"/>
    <w:rsid w:val="00A85F02"/>
    <w:rsid w:val="00A8773B"/>
    <w:rsid w:val="00A92617"/>
    <w:rsid w:val="00AA2004"/>
    <w:rsid w:val="00AA29D4"/>
    <w:rsid w:val="00AA5BC5"/>
    <w:rsid w:val="00AA77C3"/>
    <w:rsid w:val="00AB075A"/>
    <w:rsid w:val="00AB0FF3"/>
    <w:rsid w:val="00AB2CB7"/>
    <w:rsid w:val="00AC05A4"/>
    <w:rsid w:val="00AC5C29"/>
    <w:rsid w:val="00AC6562"/>
    <w:rsid w:val="00AC7944"/>
    <w:rsid w:val="00AE1ABE"/>
    <w:rsid w:val="00AE316B"/>
    <w:rsid w:val="00AE7AD3"/>
    <w:rsid w:val="00AF02FF"/>
    <w:rsid w:val="00AF2200"/>
    <w:rsid w:val="00AF4429"/>
    <w:rsid w:val="00AF5332"/>
    <w:rsid w:val="00B00764"/>
    <w:rsid w:val="00B02E80"/>
    <w:rsid w:val="00B03408"/>
    <w:rsid w:val="00B07565"/>
    <w:rsid w:val="00B076D7"/>
    <w:rsid w:val="00B17A47"/>
    <w:rsid w:val="00B22AA0"/>
    <w:rsid w:val="00B2501F"/>
    <w:rsid w:val="00B3041B"/>
    <w:rsid w:val="00B30A75"/>
    <w:rsid w:val="00B317E8"/>
    <w:rsid w:val="00B337C0"/>
    <w:rsid w:val="00B36C25"/>
    <w:rsid w:val="00B42154"/>
    <w:rsid w:val="00B421AC"/>
    <w:rsid w:val="00B45D98"/>
    <w:rsid w:val="00B53A54"/>
    <w:rsid w:val="00B53BAD"/>
    <w:rsid w:val="00B561C1"/>
    <w:rsid w:val="00B56293"/>
    <w:rsid w:val="00B61B7D"/>
    <w:rsid w:val="00B621E7"/>
    <w:rsid w:val="00B639CE"/>
    <w:rsid w:val="00B65321"/>
    <w:rsid w:val="00B6581C"/>
    <w:rsid w:val="00B7029D"/>
    <w:rsid w:val="00B709EA"/>
    <w:rsid w:val="00B7326F"/>
    <w:rsid w:val="00B74EBD"/>
    <w:rsid w:val="00B80EC8"/>
    <w:rsid w:val="00B81E86"/>
    <w:rsid w:val="00B843D1"/>
    <w:rsid w:val="00B851A3"/>
    <w:rsid w:val="00B85411"/>
    <w:rsid w:val="00B87E89"/>
    <w:rsid w:val="00BA23A5"/>
    <w:rsid w:val="00BA310E"/>
    <w:rsid w:val="00BA4A58"/>
    <w:rsid w:val="00BA50CC"/>
    <w:rsid w:val="00BA7293"/>
    <w:rsid w:val="00BA7D41"/>
    <w:rsid w:val="00BB6175"/>
    <w:rsid w:val="00BB6735"/>
    <w:rsid w:val="00BB7573"/>
    <w:rsid w:val="00BB7631"/>
    <w:rsid w:val="00BC66C0"/>
    <w:rsid w:val="00BD2AC8"/>
    <w:rsid w:val="00BD6939"/>
    <w:rsid w:val="00BE22A9"/>
    <w:rsid w:val="00BE45C8"/>
    <w:rsid w:val="00BE54F3"/>
    <w:rsid w:val="00BE7E8E"/>
    <w:rsid w:val="00BF1D2C"/>
    <w:rsid w:val="00BF2D14"/>
    <w:rsid w:val="00C01D04"/>
    <w:rsid w:val="00C029F5"/>
    <w:rsid w:val="00C0673E"/>
    <w:rsid w:val="00C118FB"/>
    <w:rsid w:val="00C167A7"/>
    <w:rsid w:val="00C17758"/>
    <w:rsid w:val="00C219D4"/>
    <w:rsid w:val="00C21E67"/>
    <w:rsid w:val="00C24090"/>
    <w:rsid w:val="00C240DF"/>
    <w:rsid w:val="00C2494A"/>
    <w:rsid w:val="00C276FE"/>
    <w:rsid w:val="00C27F52"/>
    <w:rsid w:val="00C321FD"/>
    <w:rsid w:val="00C32410"/>
    <w:rsid w:val="00C33641"/>
    <w:rsid w:val="00C33DAC"/>
    <w:rsid w:val="00C36AFA"/>
    <w:rsid w:val="00C40BAC"/>
    <w:rsid w:val="00C4350D"/>
    <w:rsid w:val="00C475C0"/>
    <w:rsid w:val="00C4773F"/>
    <w:rsid w:val="00C53369"/>
    <w:rsid w:val="00C53B71"/>
    <w:rsid w:val="00C55620"/>
    <w:rsid w:val="00C568A7"/>
    <w:rsid w:val="00C62268"/>
    <w:rsid w:val="00C65336"/>
    <w:rsid w:val="00C65EE5"/>
    <w:rsid w:val="00C6740B"/>
    <w:rsid w:val="00C67848"/>
    <w:rsid w:val="00C71AA8"/>
    <w:rsid w:val="00C72C5F"/>
    <w:rsid w:val="00C73C0F"/>
    <w:rsid w:val="00C74EC6"/>
    <w:rsid w:val="00C75A65"/>
    <w:rsid w:val="00C80452"/>
    <w:rsid w:val="00C81563"/>
    <w:rsid w:val="00C83C7A"/>
    <w:rsid w:val="00C83F9D"/>
    <w:rsid w:val="00C86E6D"/>
    <w:rsid w:val="00C8719C"/>
    <w:rsid w:val="00C9501C"/>
    <w:rsid w:val="00C96910"/>
    <w:rsid w:val="00C97F22"/>
    <w:rsid w:val="00CA48A5"/>
    <w:rsid w:val="00CA4A25"/>
    <w:rsid w:val="00CA5C13"/>
    <w:rsid w:val="00CB42DB"/>
    <w:rsid w:val="00CB789F"/>
    <w:rsid w:val="00CC439E"/>
    <w:rsid w:val="00CC4965"/>
    <w:rsid w:val="00CC51C5"/>
    <w:rsid w:val="00CC6F81"/>
    <w:rsid w:val="00CD0DFF"/>
    <w:rsid w:val="00CD18B5"/>
    <w:rsid w:val="00CD3C3A"/>
    <w:rsid w:val="00CD591E"/>
    <w:rsid w:val="00CE0A6B"/>
    <w:rsid w:val="00CE0B56"/>
    <w:rsid w:val="00CF3230"/>
    <w:rsid w:val="00CF3E3B"/>
    <w:rsid w:val="00CF62E6"/>
    <w:rsid w:val="00CF6581"/>
    <w:rsid w:val="00D003D3"/>
    <w:rsid w:val="00D01509"/>
    <w:rsid w:val="00D035CD"/>
    <w:rsid w:val="00D072F2"/>
    <w:rsid w:val="00D104D3"/>
    <w:rsid w:val="00D10CFF"/>
    <w:rsid w:val="00D130D7"/>
    <w:rsid w:val="00D145F6"/>
    <w:rsid w:val="00D267F7"/>
    <w:rsid w:val="00D274BA"/>
    <w:rsid w:val="00D27B1A"/>
    <w:rsid w:val="00D325C6"/>
    <w:rsid w:val="00D41A8D"/>
    <w:rsid w:val="00D41D60"/>
    <w:rsid w:val="00D44E91"/>
    <w:rsid w:val="00D46927"/>
    <w:rsid w:val="00D477A9"/>
    <w:rsid w:val="00D50D18"/>
    <w:rsid w:val="00D52F30"/>
    <w:rsid w:val="00D53319"/>
    <w:rsid w:val="00D543AE"/>
    <w:rsid w:val="00D545BF"/>
    <w:rsid w:val="00D54D98"/>
    <w:rsid w:val="00D57944"/>
    <w:rsid w:val="00D62D42"/>
    <w:rsid w:val="00D62EEC"/>
    <w:rsid w:val="00D63490"/>
    <w:rsid w:val="00D67275"/>
    <w:rsid w:val="00D700A2"/>
    <w:rsid w:val="00D70EDB"/>
    <w:rsid w:val="00D71D7C"/>
    <w:rsid w:val="00D72923"/>
    <w:rsid w:val="00D73987"/>
    <w:rsid w:val="00D73E48"/>
    <w:rsid w:val="00D744D1"/>
    <w:rsid w:val="00D74B40"/>
    <w:rsid w:val="00D74E4C"/>
    <w:rsid w:val="00D83E1D"/>
    <w:rsid w:val="00D84367"/>
    <w:rsid w:val="00D8520F"/>
    <w:rsid w:val="00D9333B"/>
    <w:rsid w:val="00D935A0"/>
    <w:rsid w:val="00D93DE5"/>
    <w:rsid w:val="00D94708"/>
    <w:rsid w:val="00D947F8"/>
    <w:rsid w:val="00D950EB"/>
    <w:rsid w:val="00DA30FA"/>
    <w:rsid w:val="00DB2AA3"/>
    <w:rsid w:val="00DB2FC3"/>
    <w:rsid w:val="00DB3CC5"/>
    <w:rsid w:val="00DB420F"/>
    <w:rsid w:val="00DB61E0"/>
    <w:rsid w:val="00DC3809"/>
    <w:rsid w:val="00DD1191"/>
    <w:rsid w:val="00DD32AD"/>
    <w:rsid w:val="00DE07A4"/>
    <w:rsid w:val="00DE2D5E"/>
    <w:rsid w:val="00DE54E8"/>
    <w:rsid w:val="00DE600A"/>
    <w:rsid w:val="00DE612A"/>
    <w:rsid w:val="00DE729B"/>
    <w:rsid w:val="00DE7537"/>
    <w:rsid w:val="00DF069A"/>
    <w:rsid w:val="00DF08E7"/>
    <w:rsid w:val="00DF1491"/>
    <w:rsid w:val="00DF23FA"/>
    <w:rsid w:val="00DF50D1"/>
    <w:rsid w:val="00DF6E84"/>
    <w:rsid w:val="00DF700F"/>
    <w:rsid w:val="00E0160F"/>
    <w:rsid w:val="00E0255C"/>
    <w:rsid w:val="00E044D1"/>
    <w:rsid w:val="00E049C6"/>
    <w:rsid w:val="00E050B8"/>
    <w:rsid w:val="00E066FB"/>
    <w:rsid w:val="00E06FCB"/>
    <w:rsid w:val="00E1101D"/>
    <w:rsid w:val="00E13367"/>
    <w:rsid w:val="00E13EB9"/>
    <w:rsid w:val="00E14A83"/>
    <w:rsid w:val="00E159F3"/>
    <w:rsid w:val="00E20AA4"/>
    <w:rsid w:val="00E2465D"/>
    <w:rsid w:val="00E308C4"/>
    <w:rsid w:val="00E3097B"/>
    <w:rsid w:val="00E34314"/>
    <w:rsid w:val="00E36105"/>
    <w:rsid w:val="00E44931"/>
    <w:rsid w:val="00E53FB0"/>
    <w:rsid w:val="00E5614D"/>
    <w:rsid w:val="00E60DB6"/>
    <w:rsid w:val="00E655CB"/>
    <w:rsid w:val="00E74462"/>
    <w:rsid w:val="00E76794"/>
    <w:rsid w:val="00E76A14"/>
    <w:rsid w:val="00E76F29"/>
    <w:rsid w:val="00E77C1E"/>
    <w:rsid w:val="00E8796A"/>
    <w:rsid w:val="00E93352"/>
    <w:rsid w:val="00E93622"/>
    <w:rsid w:val="00E937CA"/>
    <w:rsid w:val="00E96D3E"/>
    <w:rsid w:val="00EA1709"/>
    <w:rsid w:val="00EA1868"/>
    <w:rsid w:val="00EA1E3F"/>
    <w:rsid w:val="00EB14A8"/>
    <w:rsid w:val="00EB3610"/>
    <w:rsid w:val="00EB3B83"/>
    <w:rsid w:val="00EB47DE"/>
    <w:rsid w:val="00EB6013"/>
    <w:rsid w:val="00EB65E2"/>
    <w:rsid w:val="00EB7665"/>
    <w:rsid w:val="00EC22F6"/>
    <w:rsid w:val="00EC36C8"/>
    <w:rsid w:val="00EC5590"/>
    <w:rsid w:val="00EC6EDB"/>
    <w:rsid w:val="00EC6FFE"/>
    <w:rsid w:val="00ED1D79"/>
    <w:rsid w:val="00ED278B"/>
    <w:rsid w:val="00ED3E56"/>
    <w:rsid w:val="00ED405C"/>
    <w:rsid w:val="00EE1077"/>
    <w:rsid w:val="00EE2EB7"/>
    <w:rsid w:val="00EE69C7"/>
    <w:rsid w:val="00EF003A"/>
    <w:rsid w:val="00EF0567"/>
    <w:rsid w:val="00EF0BDB"/>
    <w:rsid w:val="00EF28E5"/>
    <w:rsid w:val="00EF35A7"/>
    <w:rsid w:val="00EF3EF1"/>
    <w:rsid w:val="00F009B7"/>
    <w:rsid w:val="00F011FA"/>
    <w:rsid w:val="00F04425"/>
    <w:rsid w:val="00F05169"/>
    <w:rsid w:val="00F066F5"/>
    <w:rsid w:val="00F06C87"/>
    <w:rsid w:val="00F06EDD"/>
    <w:rsid w:val="00F07EC9"/>
    <w:rsid w:val="00F12AFD"/>
    <w:rsid w:val="00F159EE"/>
    <w:rsid w:val="00F174A3"/>
    <w:rsid w:val="00F20BF4"/>
    <w:rsid w:val="00F21ACC"/>
    <w:rsid w:val="00F2559C"/>
    <w:rsid w:val="00F26047"/>
    <w:rsid w:val="00F3145F"/>
    <w:rsid w:val="00F31A3A"/>
    <w:rsid w:val="00F322DE"/>
    <w:rsid w:val="00F33AFB"/>
    <w:rsid w:val="00F34B1E"/>
    <w:rsid w:val="00F3584B"/>
    <w:rsid w:val="00F35AE4"/>
    <w:rsid w:val="00F46DDD"/>
    <w:rsid w:val="00F50EC7"/>
    <w:rsid w:val="00F5118D"/>
    <w:rsid w:val="00F518A1"/>
    <w:rsid w:val="00F54278"/>
    <w:rsid w:val="00F55D66"/>
    <w:rsid w:val="00F56884"/>
    <w:rsid w:val="00F57EB7"/>
    <w:rsid w:val="00F6021A"/>
    <w:rsid w:val="00F73B4F"/>
    <w:rsid w:val="00F762DA"/>
    <w:rsid w:val="00F80C56"/>
    <w:rsid w:val="00F8173D"/>
    <w:rsid w:val="00F8202D"/>
    <w:rsid w:val="00F8289E"/>
    <w:rsid w:val="00F84C16"/>
    <w:rsid w:val="00F8633E"/>
    <w:rsid w:val="00F86505"/>
    <w:rsid w:val="00F8743E"/>
    <w:rsid w:val="00F92339"/>
    <w:rsid w:val="00F93C93"/>
    <w:rsid w:val="00F945EA"/>
    <w:rsid w:val="00F968FB"/>
    <w:rsid w:val="00FA4ABF"/>
    <w:rsid w:val="00FA5813"/>
    <w:rsid w:val="00FB03FA"/>
    <w:rsid w:val="00FB0999"/>
    <w:rsid w:val="00FB4DE4"/>
    <w:rsid w:val="00FB516E"/>
    <w:rsid w:val="00FB5D4F"/>
    <w:rsid w:val="00FB6DDA"/>
    <w:rsid w:val="00FB71BB"/>
    <w:rsid w:val="00FC100C"/>
    <w:rsid w:val="00FC2210"/>
    <w:rsid w:val="00FC67CE"/>
    <w:rsid w:val="00FC6953"/>
    <w:rsid w:val="00FC6B41"/>
    <w:rsid w:val="00FC7709"/>
    <w:rsid w:val="00FD0B7E"/>
    <w:rsid w:val="00FD0C11"/>
    <w:rsid w:val="00FD160E"/>
    <w:rsid w:val="00FD4E27"/>
    <w:rsid w:val="00FD6883"/>
    <w:rsid w:val="00FE0E92"/>
    <w:rsid w:val="00FE7464"/>
    <w:rsid w:val="00FF3FCB"/>
    <w:rsid w:val="00FF42EF"/>
    <w:rsid w:val="00FF50D4"/>
    <w:rsid w:val="00FF5C7E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8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5C29"/>
  </w:style>
  <w:style w:type="paragraph" w:styleId="a8">
    <w:name w:val="footer"/>
    <w:basedOn w:val="a"/>
    <w:link w:val="a9"/>
    <w:uiPriority w:val="99"/>
    <w:unhideWhenUsed/>
    <w:rsid w:val="00AC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5C29"/>
  </w:style>
  <w:style w:type="table" w:styleId="aa">
    <w:name w:val="Table Grid"/>
    <w:basedOn w:val="a1"/>
    <w:uiPriority w:val="59"/>
    <w:rsid w:val="008E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5B7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B3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Диаграмма  №1 </a:t>
            </a:r>
          </a:p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"Соотношение поступивших обращений из разных инстанций (в сравнении за все кварталы 2020 года) </a:t>
            </a:r>
            <a:r>
              <a:rPr lang="ru-RU" sz="1800">
                <a:latin typeface="+mn-lt"/>
                <a:cs typeface="+mn-cs"/>
              </a:rPr>
              <a:t>"</a:t>
            </a:r>
            <a:endParaRPr lang="ru-RU"/>
          </a:p>
        </c:rich>
      </c:tx>
      <c:layout>
        <c:manualLayout>
          <c:xMode val="edge"/>
          <c:yMode val="edge"/>
          <c:x val="0.1443696667961347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5880461523506146E-2"/>
          <c:y val="0.22455200092995367"/>
          <c:w val="0.7224369817020736"/>
          <c:h val="0.4639984337622132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975</c:v>
                </c:pt>
                <c:pt idx="1">
                  <c:v>670</c:v>
                </c:pt>
                <c:pt idx="2">
                  <c:v>438</c:v>
                </c:pt>
                <c:pt idx="3">
                  <c:v>220</c:v>
                </c:pt>
                <c:pt idx="4">
                  <c:v>51</c:v>
                </c:pt>
                <c:pt idx="5">
                  <c:v>9</c:v>
                </c:pt>
                <c:pt idx="6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1507</c:v>
                </c:pt>
                <c:pt idx="1">
                  <c:v>912</c:v>
                </c:pt>
                <c:pt idx="2">
                  <c:v>595</c:v>
                </c:pt>
                <c:pt idx="3">
                  <c:v>382</c:v>
                </c:pt>
                <c:pt idx="4">
                  <c:v>50</c:v>
                </c:pt>
                <c:pt idx="5">
                  <c:v>17</c:v>
                </c:pt>
                <c:pt idx="6">
                  <c:v>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1551</c:v>
                </c:pt>
                <c:pt idx="1">
                  <c:v>813</c:v>
                </c:pt>
                <c:pt idx="2">
                  <c:v>738</c:v>
                </c:pt>
                <c:pt idx="3">
                  <c:v>349</c:v>
                </c:pt>
                <c:pt idx="4">
                  <c:v>97</c:v>
                </c:pt>
                <c:pt idx="5">
                  <c:v>14</c:v>
                </c:pt>
                <c:pt idx="6">
                  <c:v>21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 2020</c:v>
                </c:pt>
              </c:strCache>
            </c:strRef>
          </c:tx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1246</c:v>
                </c:pt>
                <c:pt idx="1">
                  <c:v>606</c:v>
                </c:pt>
                <c:pt idx="2">
                  <c:v>640</c:v>
                </c:pt>
                <c:pt idx="3">
                  <c:v>312</c:v>
                </c:pt>
                <c:pt idx="4">
                  <c:v>45</c:v>
                </c:pt>
                <c:pt idx="5">
                  <c:v>7</c:v>
                </c:pt>
                <c:pt idx="6">
                  <c:v>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5279</c:v>
                </c:pt>
                <c:pt idx="1">
                  <c:v>3001</c:v>
                </c:pt>
                <c:pt idx="2">
                  <c:v>2411</c:v>
                </c:pt>
                <c:pt idx="3">
                  <c:v>1263</c:v>
                </c:pt>
                <c:pt idx="4">
                  <c:v>243</c:v>
                </c:pt>
                <c:pt idx="5">
                  <c:v>47</c:v>
                </c:pt>
                <c:pt idx="6">
                  <c:v>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76512"/>
        <c:axId val="53378048"/>
      </c:lineChart>
      <c:catAx>
        <c:axId val="5337651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53378048"/>
        <c:crosses val="autoZero"/>
        <c:auto val="1"/>
        <c:lblAlgn val="ctr"/>
        <c:lblOffset val="100"/>
        <c:noMultiLvlLbl val="1"/>
      </c:catAx>
      <c:valAx>
        <c:axId val="533780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3376512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1442949676133536"/>
          <c:y val="0.16915882018244224"/>
          <c:w val="0.18557050323866467"/>
          <c:h val="0.42800579997430394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3.1294972743791644E-2"/>
          <c:w val="0.78779984551237725"/>
          <c:h val="0.86587603472642838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marker>
            <c:symbol val="none"/>
          </c:marker>
          <c:dLbls>
            <c:dLbl>
              <c:idx val="3"/>
              <c:layout>
                <c:manualLayout>
                  <c:x val="6.9444444444444441E-3"/>
                  <c:y val="0.115079365079365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 за год</c:v>
                </c:pt>
              </c:strCache>
            </c:strRef>
          </c:xVal>
          <c:yVal>
            <c:numRef>
              <c:f>Лист1!$B$2:$B$6</c:f>
              <c:numCache>
                <c:formatCode>General</c:formatCode>
                <c:ptCount val="5"/>
                <c:pt idx="0">
                  <c:v>975</c:v>
                </c:pt>
                <c:pt idx="1">
                  <c:v>1507</c:v>
                </c:pt>
                <c:pt idx="2">
                  <c:v>1551</c:v>
                </c:pt>
                <c:pt idx="3">
                  <c:v>1246</c:v>
                </c:pt>
                <c:pt idx="4">
                  <c:v>5279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Лист1!$A$2:$A$6</c:f>
              <c:strCache>
                <c:ptCount val="5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  <c:pt idx="4">
                  <c:v>Всего за год</c:v>
                </c:pt>
              </c:strCache>
            </c:strRef>
          </c:xVal>
          <c:yVal>
            <c:numRef>
              <c:f>Лист1!$C$2:$C$6</c:f>
              <c:numCache>
                <c:formatCode>General</c:formatCode>
                <c:ptCount val="5"/>
                <c:pt idx="0">
                  <c:v>1366</c:v>
                </c:pt>
                <c:pt idx="1">
                  <c:v>793</c:v>
                </c:pt>
                <c:pt idx="2">
                  <c:v>958</c:v>
                </c:pt>
                <c:pt idx="3">
                  <c:v>2.8</c:v>
                </c:pt>
                <c:pt idx="4">
                  <c:v>3998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5984000"/>
        <c:axId val="85985536"/>
      </c:scatterChart>
      <c:valAx>
        <c:axId val="8598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85985536"/>
        <c:crosses val="autoZero"/>
        <c:crossBetween val="midCat"/>
      </c:valAx>
      <c:valAx>
        <c:axId val="85985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984000"/>
        <c:crosses val="autoZero"/>
        <c:crossBetween val="midCat"/>
      </c:valAx>
      <c:spPr>
        <a:pattFill prst="pct5">
          <a:fgClr>
            <a:schemeClr val="accent1">
              <a:lumMod val="40000"/>
              <a:lumOff val="60000"/>
            </a:schemeClr>
          </a:fgClr>
          <a:bgClr>
            <a:schemeClr val="bg1"/>
          </a:bgClr>
        </a:pattFill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 №3</a:t>
            </a: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Соотношения количества обращений по блокам вопросов  </a:t>
            </a: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 2020 г.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ctr"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454543752644329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  <c:spPr>
        <a:ln>
          <a:solidFill>
            <a:schemeClr val="accent1"/>
          </a:solidFill>
        </a:ln>
      </c:spPr>
    </c:sideWall>
    <c:backWall>
      <c:thickness val="0"/>
      <c:spPr>
        <a:ln>
          <a:solidFill>
            <a:schemeClr val="accent1"/>
          </a:solidFill>
        </a:ln>
      </c:spPr>
    </c:backWall>
    <c:plotArea>
      <c:layout>
        <c:manualLayout>
          <c:layoutTarget val="inner"/>
          <c:xMode val="edge"/>
          <c:yMode val="edge"/>
          <c:x val="6.9998390001535113E-2"/>
          <c:y val="0.24906842556504083"/>
          <c:w val="0.5648201107529176"/>
          <c:h val="0.75047291433260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1.8808777429467086E-2"/>
                  <c:y val="-6.33946830265848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1504702194357292E-2"/>
                  <c:y val="-3.27198364008179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9853709508881923"/>
                  <c:y val="-3.68098159509203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8.9864158829676077E-2"/>
                  <c:y val="1.84049079754601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420062695924765"/>
                  <c:y val="-0.147239263803680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6133751306165097E-2"/>
                  <c:y val="8.38445807770961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4785788923719959E-2"/>
                  <c:y val="-4.0899795501022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3;1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0"/>
                  <c:y val="-6.74846625766871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3.1347962382445103E-2"/>
                  <c:y val="-7.975460122699386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Лист1!$A$2:$A$16</c:f>
              <c:strCache>
                <c:ptCount val="8"/>
                <c:pt idx="0">
                  <c:v>вопросы семьи</c:v>
                </c:pt>
                <c:pt idx="1">
                  <c:v>присвоение звания</c:v>
                </c:pt>
                <c:pt idx="2">
                  <c:v>материальная помощь</c:v>
                </c:pt>
                <c:pt idx="3">
                  <c:v>тср 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вопросы вне компетенции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8"/>
                <c:pt idx="0">
                  <c:v>222</c:v>
                </c:pt>
                <c:pt idx="1">
                  <c:v>128</c:v>
                </c:pt>
                <c:pt idx="2">
                  <c:v>1072</c:v>
                </c:pt>
                <c:pt idx="3">
                  <c:v>124</c:v>
                </c:pt>
                <c:pt idx="4">
                  <c:v>3318</c:v>
                </c:pt>
                <c:pt idx="5">
                  <c:v>314</c:v>
                </c:pt>
                <c:pt idx="6">
                  <c:v>22</c:v>
                </c:pt>
                <c:pt idx="7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1850681674195114"/>
          <c:y val="0.30309558180227469"/>
          <c:w val="0.17104386246390049"/>
          <c:h val="0.62385198782667495"/>
        </c:manualLayout>
      </c:layout>
      <c:overlay val="0"/>
    </c:legend>
    <c:plotVisOnly val="1"/>
    <c:dispBlanksAs val="gap"/>
    <c:showDLblsOverMax val="0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481026320308091E-2"/>
          <c:y val="1.5878624927981561E-2"/>
          <c:w val="0.86557117276228324"/>
          <c:h val="0.591744905126295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43</c:v>
                </c:pt>
                <c:pt idx="1">
                  <c:v>49</c:v>
                </c:pt>
                <c:pt idx="2">
                  <c:v>230</c:v>
                </c:pt>
                <c:pt idx="3">
                  <c:v>46</c:v>
                </c:pt>
                <c:pt idx="4">
                  <c:v>467</c:v>
                </c:pt>
                <c:pt idx="5">
                  <c:v>89</c:v>
                </c:pt>
                <c:pt idx="6">
                  <c:v>5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45</c:v>
                </c:pt>
                <c:pt idx="1">
                  <c:v>36</c:v>
                </c:pt>
                <c:pt idx="2">
                  <c:v>412</c:v>
                </c:pt>
                <c:pt idx="3">
                  <c:v>25</c:v>
                </c:pt>
                <c:pt idx="4">
                  <c:v>913</c:v>
                </c:pt>
                <c:pt idx="5">
                  <c:v>79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55</c:v>
                </c:pt>
                <c:pt idx="1">
                  <c:v>27</c:v>
                </c:pt>
                <c:pt idx="2">
                  <c:v>212</c:v>
                </c:pt>
                <c:pt idx="3">
                  <c:v>27</c:v>
                </c:pt>
                <c:pt idx="4">
                  <c:v>1130</c:v>
                </c:pt>
                <c:pt idx="5">
                  <c:v>72</c:v>
                </c:pt>
                <c:pt idx="6">
                  <c:v>3</c:v>
                </c:pt>
                <c:pt idx="7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квартвал 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вне компетенции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79</c:v>
                </c:pt>
                <c:pt idx="1">
                  <c:v>16</c:v>
                </c:pt>
                <c:pt idx="2">
                  <c:v>218</c:v>
                </c:pt>
                <c:pt idx="3">
                  <c:v>26</c:v>
                </c:pt>
                <c:pt idx="4">
                  <c:v>808</c:v>
                </c:pt>
                <c:pt idx="5">
                  <c:v>74</c:v>
                </c:pt>
                <c:pt idx="6">
                  <c:v>7</c:v>
                </c:pt>
                <c:pt idx="7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270912"/>
        <c:axId val="132055808"/>
      </c:barChart>
      <c:catAx>
        <c:axId val="11127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055808"/>
        <c:crosses val="autoZero"/>
        <c:auto val="1"/>
        <c:lblAlgn val="ctr"/>
        <c:lblOffset val="100"/>
        <c:noMultiLvlLbl val="0"/>
      </c:catAx>
      <c:valAx>
        <c:axId val="1320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effectLst>
            <a:glow rad="1905000">
              <a:schemeClr val="accent1">
                <a:alpha val="39000"/>
              </a:schemeClr>
            </a:glow>
            <a:softEdge rad="1270000"/>
          </a:effectLst>
        </c:spPr>
        <c:crossAx val="111270912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.8423855896517608"/>
          <c:y val="0.80919469971913871"/>
          <c:w val="0.14972780271624925"/>
          <c:h val="0.1908053002808611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125601321111451E-2"/>
          <c:y val="0.17487888737155086"/>
          <c:w val="0.70726104549431335"/>
          <c:h val="0.711892575928009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73%</a:t>
                    </a:r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решено</c:v>
                </c:pt>
                <c:pt idx="1">
                  <c:v>отказано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16</c:v>
                </c:pt>
                <c:pt idx="2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 количества обращений граждан в разрезе МО области 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за 2020 год</a:t>
            </a:r>
          </a:p>
          <a:p>
            <a:pPr algn="ctr"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089845435987169"/>
          <c:y val="2.7058437548247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42779405937485E-2"/>
          <c:y val="0.17980478655812845"/>
          <c:w val="0.84445495882521415"/>
          <c:h val="0.37481114015082151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40</c:v>
                </c:pt>
                <c:pt idx="6">
                  <c:v>25</c:v>
                </c:pt>
                <c:pt idx="7">
                  <c:v>22</c:v>
                </c:pt>
                <c:pt idx="8">
                  <c:v>26</c:v>
                </c:pt>
                <c:pt idx="9">
                  <c:v>16</c:v>
                </c:pt>
                <c:pt idx="10">
                  <c:v>3</c:v>
                </c:pt>
                <c:pt idx="11">
                  <c:v>11</c:v>
                </c:pt>
                <c:pt idx="12">
                  <c:v>3</c:v>
                </c:pt>
                <c:pt idx="13">
                  <c:v>5</c:v>
                </c:pt>
                <c:pt idx="14">
                  <c:v>15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11</c:v>
                </c:pt>
                <c:pt idx="19">
                  <c:v>4</c:v>
                </c:pt>
                <c:pt idx="20">
                  <c:v>4</c:v>
                </c:pt>
                <c:pt idx="21">
                  <c:v>14</c:v>
                </c:pt>
                <c:pt idx="22">
                  <c:v>27</c:v>
                </c:pt>
                <c:pt idx="23">
                  <c:v>4</c:v>
                </c:pt>
                <c:pt idx="24">
                  <c:v>17</c:v>
                </c:pt>
                <c:pt idx="25">
                  <c:v>43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19</c:v>
                </c:pt>
                <c:pt idx="4">
                  <c:v>10</c:v>
                </c:pt>
                <c:pt idx="5">
                  <c:v>57</c:v>
                </c:pt>
                <c:pt idx="6">
                  <c:v>33</c:v>
                </c:pt>
                <c:pt idx="7">
                  <c:v>19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13</c:v>
                </c:pt>
                <c:pt idx="12">
                  <c:v>20</c:v>
                </c:pt>
                <c:pt idx="13">
                  <c:v>5</c:v>
                </c:pt>
                <c:pt idx="14">
                  <c:v>15</c:v>
                </c:pt>
                <c:pt idx="15">
                  <c:v>7</c:v>
                </c:pt>
                <c:pt idx="16">
                  <c:v>6</c:v>
                </c:pt>
                <c:pt idx="17">
                  <c:v>14</c:v>
                </c:pt>
                <c:pt idx="18">
                  <c:v>4</c:v>
                </c:pt>
                <c:pt idx="19">
                  <c:v>11</c:v>
                </c:pt>
                <c:pt idx="20">
                  <c:v>2</c:v>
                </c:pt>
                <c:pt idx="21">
                  <c:v>9</c:v>
                </c:pt>
                <c:pt idx="22">
                  <c:v>20</c:v>
                </c:pt>
                <c:pt idx="23">
                  <c:v>7</c:v>
                </c:pt>
                <c:pt idx="24">
                  <c:v>27</c:v>
                </c:pt>
                <c:pt idx="25">
                  <c:v>28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Лист1!$D$2:$D$27</c:f>
              <c:numCache>
                <c:formatCode>General</c:formatCode>
                <c:ptCount val="26"/>
                <c:pt idx="0">
                  <c:v>508</c:v>
                </c:pt>
                <c:pt idx="1">
                  <c:v>668</c:v>
                </c:pt>
                <c:pt idx="2">
                  <c:v>0</c:v>
                </c:pt>
                <c:pt idx="3">
                  <c:v>29</c:v>
                </c:pt>
                <c:pt idx="4">
                  <c:v>16</c:v>
                </c:pt>
                <c:pt idx="5">
                  <c:v>58</c:v>
                </c:pt>
                <c:pt idx="6">
                  <c:v>30</c:v>
                </c:pt>
                <c:pt idx="7">
                  <c:v>22</c:v>
                </c:pt>
                <c:pt idx="8">
                  <c:v>7</c:v>
                </c:pt>
                <c:pt idx="9">
                  <c:v>13</c:v>
                </c:pt>
                <c:pt idx="10">
                  <c:v>21</c:v>
                </c:pt>
                <c:pt idx="11">
                  <c:v>8</c:v>
                </c:pt>
                <c:pt idx="12">
                  <c:v>6</c:v>
                </c:pt>
                <c:pt idx="13">
                  <c:v>2</c:v>
                </c:pt>
                <c:pt idx="14">
                  <c:v>10</c:v>
                </c:pt>
                <c:pt idx="15">
                  <c:v>3</c:v>
                </c:pt>
                <c:pt idx="16">
                  <c:v>10</c:v>
                </c:pt>
                <c:pt idx="17">
                  <c:v>5</c:v>
                </c:pt>
                <c:pt idx="18">
                  <c:v>4</c:v>
                </c:pt>
                <c:pt idx="19">
                  <c:v>11</c:v>
                </c:pt>
                <c:pt idx="20">
                  <c:v>5</c:v>
                </c:pt>
                <c:pt idx="21">
                  <c:v>10</c:v>
                </c:pt>
                <c:pt idx="22">
                  <c:v>29</c:v>
                </c:pt>
                <c:pt idx="23">
                  <c:v>17</c:v>
                </c:pt>
                <c:pt idx="24">
                  <c:v>22</c:v>
                </c:pt>
                <c:pt idx="25">
                  <c:v>37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Лист1!$E$2:$E$27</c:f>
              <c:numCache>
                <c:formatCode>General</c:formatCode>
                <c:ptCount val="26"/>
                <c:pt idx="0">
                  <c:v>319</c:v>
                </c:pt>
                <c:pt idx="1">
                  <c:v>575</c:v>
                </c:pt>
                <c:pt idx="2">
                  <c:v>5</c:v>
                </c:pt>
                <c:pt idx="3">
                  <c:v>17</c:v>
                </c:pt>
                <c:pt idx="4">
                  <c:v>13</c:v>
                </c:pt>
                <c:pt idx="5">
                  <c:v>43</c:v>
                </c:pt>
                <c:pt idx="6">
                  <c:v>37</c:v>
                </c:pt>
                <c:pt idx="7">
                  <c:v>14</c:v>
                </c:pt>
                <c:pt idx="8">
                  <c:v>8</c:v>
                </c:pt>
                <c:pt idx="9">
                  <c:v>11</c:v>
                </c:pt>
                <c:pt idx="10">
                  <c:v>16</c:v>
                </c:pt>
                <c:pt idx="11">
                  <c:v>14</c:v>
                </c:pt>
                <c:pt idx="12">
                  <c:v>10</c:v>
                </c:pt>
                <c:pt idx="13">
                  <c:v>2</c:v>
                </c:pt>
                <c:pt idx="14">
                  <c:v>13</c:v>
                </c:pt>
                <c:pt idx="15">
                  <c:v>2</c:v>
                </c:pt>
                <c:pt idx="16">
                  <c:v>4</c:v>
                </c:pt>
                <c:pt idx="17">
                  <c:v>19</c:v>
                </c:pt>
                <c:pt idx="18">
                  <c:v>3</c:v>
                </c:pt>
                <c:pt idx="19">
                  <c:v>5</c:v>
                </c:pt>
                <c:pt idx="20">
                  <c:v>3</c:v>
                </c:pt>
                <c:pt idx="21">
                  <c:v>9</c:v>
                </c:pt>
                <c:pt idx="22">
                  <c:v>19</c:v>
                </c:pt>
                <c:pt idx="23">
                  <c:v>7</c:v>
                </c:pt>
                <c:pt idx="24">
                  <c:v>26</c:v>
                </c:pt>
                <c:pt idx="25">
                  <c:v>52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Лист1!$F$2:$F$27</c:f>
              <c:numCache>
                <c:formatCode>General</c:formatCode>
                <c:ptCount val="26"/>
                <c:pt idx="0">
                  <c:v>1460</c:v>
                </c:pt>
                <c:pt idx="1">
                  <c:v>2367</c:v>
                </c:pt>
                <c:pt idx="2">
                  <c:v>17</c:v>
                </c:pt>
                <c:pt idx="3">
                  <c:v>85</c:v>
                </c:pt>
                <c:pt idx="4">
                  <c:v>48</c:v>
                </c:pt>
                <c:pt idx="5">
                  <c:v>198</c:v>
                </c:pt>
                <c:pt idx="6">
                  <c:v>125</c:v>
                </c:pt>
                <c:pt idx="7">
                  <c:v>77</c:v>
                </c:pt>
                <c:pt idx="8">
                  <c:v>56</c:v>
                </c:pt>
                <c:pt idx="9">
                  <c:v>57</c:v>
                </c:pt>
                <c:pt idx="10">
                  <c:v>59</c:v>
                </c:pt>
                <c:pt idx="11">
                  <c:v>46</c:v>
                </c:pt>
                <c:pt idx="12">
                  <c:v>39</c:v>
                </c:pt>
                <c:pt idx="13">
                  <c:v>14</c:v>
                </c:pt>
                <c:pt idx="14">
                  <c:v>53</c:v>
                </c:pt>
                <c:pt idx="15">
                  <c:v>15</c:v>
                </c:pt>
                <c:pt idx="16">
                  <c:v>22</c:v>
                </c:pt>
                <c:pt idx="17">
                  <c:v>46</c:v>
                </c:pt>
                <c:pt idx="18">
                  <c:v>24</c:v>
                </c:pt>
                <c:pt idx="19">
                  <c:v>31</c:v>
                </c:pt>
                <c:pt idx="20">
                  <c:v>14</c:v>
                </c:pt>
                <c:pt idx="21">
                  <c:v>42</c:v>
                </c:pt>
                <c:pt idx="22">
                  <c:v>95</c:v>
                </c:pt>
                <c:pt idx="23">
                  <c:v>35</c:v>
                </c:pt>
                <c:pt idx="24">
                  <c:v>92</c:v>
                </c:pt>
                <c:pt idx="25">
                  <c:v>160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401024"/>
        <c:axId val="132402560"/>
      </c:lineChart>
      <c:catAx>
        <c:axId val="13240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32402560"/>
        <c:crosses val="autoZero"/>
        <c:auto val="1"/>
        <c:lblAlgn val="ctr"/>
        <c:lblOffset val="100"/>
        <c:noMultiLvlLbl val="0"/>
      </c:catAx>
      <c:valAx>
        <c:axId val="13240256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3240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56533333333334"/>
          <c:y val="0.7995214551669414"/>
          <c:w val="0.19863466666666665"/>
          <c:h val="0.20047854483305866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нагрузки по подразделениям в процентном соотношение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 01.04.2020 г. по 31.12.2020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560209676760695E-2"/>
          <c:y val="0.61570263522175439"/>
          <c:w val="0.83351041515850122"/>
          <c:h val="0.330527715704233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4"/>
            <c:bubble3D val="0"/>
            <c:explosion val="6"/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</c:spPr>
          </c:dPt>
          <c:dPt>
            <c:idx val="9"/>
            <c:bubble3D val="0"/>
            <c:spPr>
              <a:solidFill>
                <a:srgbClr val="FF0000"/>
              </a:solidFill>
            </c:spPr>
          </c:dPt>
          <c:dLbls>
            <c:dLbl>
              <c:idx val="3"/>
              <c:layout>
                <c:manualLayout>
                  <c:x val="-8.7865848452111803E-2"/>
                  <c:y val="-6.69532386405414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1955436263536364E-2"/>
                  <c:y val="-4.279909591081870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0755289252209879E-2"/>
                  <c:y val="-2.564697683191430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0.21554756150530693"/>
                  <c:y val="-5.42742510413969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1.4689252952291855E-3"/>
                  <c:y val="-3.7736452249193577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департамен методологии и организации социальной поддержки населения</c:v>
                </c:pt>
                <c:pt idx="1">
                  <c:v>департамент охраны прав несовершеннолетних</c:v>
                </c:pt>
                <c:pt idx="2">
                  <c:v>департамент  семейной и демографической политики</c:v>
                </c:pt>
                <c:pt idx="3">
                  <c:v>департамент административного обеспечения</c:v>
                </c:pt>
                <c:pt idx="4">
                  <c:v>департамент социального благополучия</c:v>
                </c:pt>
                <c:pt idx="5">
                  <c:v>департамент финансов</c:v>
                </c:pt>
                <c:pt idx="6">
                  <c:v>департамент Министерства семейной.демографической политики и социального благополучия в городе Ульяновске </c:v>
                </c:pt>
                <c:pt idx="7">
                  <c:v>УОКУСЗН "ЕОЦСВ"</c:v>
                </c:pt>
                <c:pt idx="8">
                  <c:v>УОГКУСЗН по Ульяновской области</c:v>
                </c:pt>
                <c:pt idx="9">
                  <c:v>отдел информационно-аналитической работы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600</c:v>
                </c:pt>
                <c:pt idx="1">
                  <c:v>199</c:v>
                </c:pt>
                <c:pt idx="2">
                  <c:v>331</c:v>
                </c:pt>
                <c:pt idx="3">
                  <c:v>355</c:v>
                </c:pt>
                <c:pt idx="4">
                  <c:v>1427</c:v>
                </c:pt>
                <c:pt idx="5">
                  <c:v>51</c:v>
                </c:pt>
                <c:pt idx="6">
                  <c:v>131</c:v>
                </c:pt>
                <c:pt idx="7">
                  <c:v>48</c:v>
                </c:pt>
                <c:pt idx="8">
                  <c:v>3127</c:v>
                </c:pt>
                <c:pt idx="9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3175269757946924E-2"/>
          <c:y val="0.13505607253638749"/>
          <c:w val="0.85735316418780982"/>
          <c:h val="0.43560205323984857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F0DA-854C-4521-8985-89994C23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 ul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</dc:creator>
  <cp:lastModifiedBy>Захарова Ирина  Анатольевна</cp:lastModifiedBy>
  <cp:revision>19</cp:revision>
  <cp:lastPrinted>2021-02-10T10:46:00Z</cp:lastPrinted>
  <dcterms:created xsi:type="dcterms:W3CDTF">2021-01-14T14:09:00Z</dcterms:created>
  <dcterms:modified xsi:type="dcterms:W3CDTF">2021-02-10T10:48:00Z</dcterms:modified>
</cp:coreProperties>
</file>