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25B5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125B59">
        <w:rPr>
          <w:rFonts w:ascii="Times New Roman" w:hAnsi="Times New Roman" w:cs="Times New Roman"/>
          <w:sz w:val="28"/>
          <w:szCs w:val="28"/>
        </w:rPr>
        <w:t xml:space="preserve"> в </w:t>
      </w:r>
      <w:r w:rsidR="00125B59" w:rsidRPr="00125B59">
        <w:rPr>
          <w:rFonts w:ascii="Times New Roman" w:hAnsi="Times New Roman" w:cs="Times New Roman"/>
          <w:sz w:val="28"/>
          <w:szCs w:val="28"/>
        </w:rPr>
        <w:t xml:space="preserve"> </w:t>
      </w:r>
      <w:r w:rsidRPr="00125B59">
        <w:rPr>
          <w:rFonts w:ascii="Times New Roman" w:hAnsi="Times New Roman" w:cs="Times New Roman"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125B59" w:rsidRPr="00125B59" w:rsidRDefault="00125B59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94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4F30D7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E97" w:rsidRPr="00191D45" w:rsidRDefault="00946E97" w:rsidP="0094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97" w:rsidRDefault="00946E97" w:rsidP="00946E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E97">
        <w:rPr>
          <w:rFonts w:ascii="Times New Roman" w:hAnsi="Times New Roman" w:cs="Times New Roman"/>
          <w:color w:val="333333"/>
          <w:sz w:val="28"/>
          <w:szCs w:val="28"/>
        </w:rPr>
        <w:t xml:space="preserve">период с 1 июля  по 30 сентября  </w:t>
      </w:r>
      <w:r w:rsidR="00834189" w:rsidRPr="00946E97">
        <w:rPr>
          <w:rFonts w:ascii="Times New Roman" w:hAnsi="Times New Roman" w:cs="Times New Roman"/>
          <w:color w:val="333333"/>
          <w:sz w:val="28"/>
          <w:szCs w:val="28"/>
        </w:rPr>
        <w:t xml:space="preserve">2020 года </w:t>
      </w:r>
      <w:r w:rsidR="00834189" w:rsidRPr="00946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Министерство </w:t>
      </w:r>
      <w:r w:rsidRPr="00946E97">
        <w:rPr>
          <w:rFonts w:ascii="Times New Roman" w:hAnsi="Times New Roman" w:cs="Times New Roman"/>
          <w:color w:val="333333"/>
          <w:sz w:val="28"/>
          <w:szCs w:val="28"/>
        </w:rPr>
        <w:t>поступило и рассмотрено  1551  обращение</w:t>
      </w:r>
      <w:r w:rsidR="0083418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 xml:space="preserve"> единицы  больше, чем во  втором   квартале  2020 года (2 квартал -1507).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89" w:rsidRDefault="00834189" w:rsidP="008341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Pr="00834189" w:rsidRDefault="00946E97" w:rsidP="00834189">
      <w:pPr>
        <w:pStyle w:val="a7"/>
        <w:shd w:val="clear" w:color="auto" w:fill="FFFFFF"/>
        <w:spacing w:before="0" w:beforeAutospacing="0" w:after="450" w:afterAutospacing="0"/>
        <w:ind w:left="705"/>
        <w:rPr>
          <w:color w:val="333333"/>
          <w:sz w:val="28"/>
          <w:szCs w:val="28"/>
        </w:rPr>
      </w:pPr>
      <w:r w:rsidRPr="00946E97">
        <w:rPr>
          <w:color w:val="333333"/>
          <w:sz w:val="28"/>
          <w:szCs w:val="28"/>
          <w:shd w:val="clear" w:color="auto" w:fill="FFFFFF"/>
        </w:rPr>
        <w:t xml:space="preserve">По источникам поступления обращений граждан непосредственно от заявителей поступило </w:t>
      </w:r>
      <w:r w:rsidR="00834189">
        <w:rPr>
          <w:color w:val="333333"/>
          <w:sz w:val="28"/>
          <w:szCs w:val="28"/>
          <w:shd w:val="clear" w:color="auto" w:fill="FFFFFF"/>
        </w:rPr>
        <w:t>738</w:t>
      </w:r>
      <w:r w:rsidRPr="00946E97">
        <w:rPr>
          <w:color w:val="333333"/>
          <w:sz w:val="28"/>
          <w:szCs w:val="28"/>
          <w:shd w:val="clear" w:color="auto" w:fill="FFFFFF"/>
        </w:rPr>
        <w:t xml:space="preserve">  обращений граждан.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8"/>
        <w:gridCol w:w="4349"/>
        <w:gridCol w:w="1701"/>
        <w:gridCol w:w="1560"/>
        <w:gridCol w:w="1667"/>
      </w:tblGrid>
      <w:tr w:rsidR="0044707A" w:rsidTr="00735201">
        <w:tc>
          <w:tcPr>
            <w:tcW w:w="708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701" w:type="dxa"/>
          </w:tcPr>
          <w:p w:rsidR="0044707A" w:rsidRDefault="004F30D7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07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1560" w:type="dxa"/>
          </w:tcPr>
          <w:p w:rsidR="0044707A" w:rsidRDefault="004F30D7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07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1667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</w:tc>
        <w:tc>
          <w:tcPr>
            <w:tcW w:w="1701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667" w:type="dxa"/>
          </w:tcPr>
          <w:p w:rsidR="0044707A" w:rsidRDefault="00374AE0" w:rsidP="007B18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701" w:type="dxa"/>
          </w:tcPr>
          <w:p w:rsidR="0044707A" w:rsidRPr="007B31D8" w:rsidRDefault="007B1856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667" w:type="dxa"/>
          </w:tcPr>
          <w:p w:rsidR="0044707A" w:rsidRDefault="00374AE0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8D4FD4" w:rsidRDefault="008D4FD4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Pr="007B31D8" w:rsidRDefault="0044707A" w:rsidP="0073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</w:tc>
        <w:tc>
          <w:tcPr>
            <w:tcW w:w="1701" w:type="dxa"/>
          </w:tcPr>
          <w:p w:rsidR="0044707A" w:rsidRPr="007B31D8" w:rsidRDefault="007B1856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44707A" w:rsidRDefault="0044707A" w:rsidP="007B18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</w:tc>
        <w:tc>
          <w:tcPr>
            <w:tcW w:w="1701" w:type="dxa"/>
          </w:tcPr>
          <w:p w:rsidR="0044707A" w:rsidRPr="007B31D8" w:rsidRDefault="007B1856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44707A" w:rsidRDefault="0044707A" w:rsidP="007B18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</w:tc>
        <w:tc>
          <w:tcPr>
            <w:tcW w:w="1701" w:type="dxa"/>
          </w:tcPr>
          <w:p w:rsidR="0044707A" w:rsidRPr="007B31D8" w:rsidRDefault="007B1856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44707A" w:rsidRDefault="00374AE0" w:rsidP="007B18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</w:tc>
        <w:tc>
          <w:tcPr>
            <w:tcW w:w="1701" w:type="dxa"/>
          </w:tcPr>
          <w:p w:rsidR="0044707A" w:rsidRPr="007B31D8" w:rsidRDefault="007B1856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44707A" w:rsidRDefault="0044707A" w:rsidP="007B18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707A" w:rsidTr="00735201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Pr="007B31D8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4707A" w:rsidRPr="007B31D8" w:rsidRDefault="00374AE0" w:rsidP="004F30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F3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44707A" w:rsidRPr="007B31D8" w:rsidRDefault="004F30D7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667" w:type="dxa"/>
          </w:tcPr>
          <w:p w:rsidR="0044707A" w:rsidRDefault="00374AE0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B185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44707A" w:rsidRDefault="0044707A" w:rsidP="007352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E1BD7" w:rsidP="00735201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35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Поступившие в Министерство обращения граждан регистрировались и  направлялись  по компетенции на исполнение  в структурные подразделения Министерства</w:t>
      </w:r>
      <w:r>
        <w:rPr>
          <w:rFonts w:ascii="SegoeUI" w:hAnsi="SegoeUI"/>
          <w:color w:val="333333"/>
          <w:shd w:val="clear" w:color="auto" w:fill="FFFFFF"/>
        </w:rPr>
        <w:t>.   </w:t>
      </w: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62725" cy="4019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D7" w:rsidRPr="004E1BD7" w:rsidRDefault="004E1BD7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4E1BD7">
        <w:rPr>
          <w:rFonts w:ascii="SegoeUI" w:hAnsi="SegoeUI"/>
          <w:color w:val="333333"/>
          <w:sz w:val="28"/>
          <w:szCs w:val="28"/>
          <w:shd w:val="clear" w:color="auto" w:fill="FFFFFF"/>
        </w:rPr>
        <w:t xml:space="preserve"> проведения анализа тематики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Министерства.</w:t>
      </w:r>
    </w:p>
    <w:p w:rsidR="004E1BD7" w:rsidRPr="004E1BD7" w:rsidRDefault="004E1BD7" w:rsidP="004E1B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E1BD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16"/>
        <w:gridCol w:w="3465"/>
        <w:gridCol w:w="2141"/>
        <w:gridCol w:w="1907"/>
        <w:gridCol w:w="2376"/>
      </w:tblGrid>
      <w:tr w:rsidR="0044707A" w:rsidTr="00735201">
        <w:tc>
          <w:tcPr>
            <w:tcW w:w="817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41" w:type="dxa"/>
          </w:tcPr>
          <w:p w:rsidR="0044707A" w:rsidRPr="00466725" w:rsidRDefault="000E393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59AF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707A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2020г.</w:t>
            </w:r>
          </w:p>
        </w:tc>
        <w:tc>
          <w:tcPr>
            <w:tcW w:w="1907" w:type="dxa"/>
          </w:tcPr>
          <w:p w:rsidR="0044707A" w:rsidRPr="00466725" w:rsidRDefault="000E393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4707A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1130</w:t>
            </w:r>
          </w:p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0E393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</w:p>
          <w:p w:rsidR="0044707A" w:rsidRPr="00466725" w:rsidRDefault="0044707A" w:rsidP="0063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359AF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Pr="00466725" w:rsidRDefault="001D5118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73520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0E393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  <w:p w:rsidR="0044707A" w:rsidRPr="00466725" w:rsidRDefault="0044707A" w:rsidP="0063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6359AF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Pr="00466725" w:rsidRDefault="00466725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73520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4707A" w:rsidRPr="00466725" w:rsidRDefault="0044707A" w:rsidP="0031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4163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A139C2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(3%)</w:t>
            </w:r>
          </w:p>
        </w:tc>
        <w:tc>
          <w:tcPr>
            <w:tcW w:w="2376" w:type="dxa"/>
          </w:tcPr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73520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44707A" w:rsidRPr="00466725" w:rsidRDefault="0044707A" w:rsidP="0031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4163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44707A" w:rsidRPr="00466725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139C2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73520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4707A" w:rsidRPr="00466725" w:rsidRDefault="0044707A" w:rsidP="0031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4163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4707A" w:rsidRPr="00466725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9C2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Pr="00466725" w:rsidRDefault="00466725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+12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73520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  <w:p w:rsidR="0044707A" w:rsidRPr="00466725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A139C2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Pr="00466725" w:rsidRDefault="001D5118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51626" w:rsidRPr="00351626" w:rsidTr="00735201">
        <w:tc>
          <w:tcPr>
            <w:tcW w:w="817" w:type="dxa"/>
          </w:tcPr>
          <w:p w:rsidR="0044707A" w:rsidRPr="00106102" w:rsidRDefault="0044707A" w:rsidP="0073520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( 1%)</w:t>
            </w:r>
          </w:p>
        </w:tc>
        <w:tc>
          <w:tcPr>
            <w:tcW w:w="2376" w:type="dxa"/>
          </w:tcPr>
          <w:p w:rsidR="0044707A" w:rsidRPr="00466725" w:rsidRDefault="001D5118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социального страхования</w:t>
            </w:r>
          </w:p>
        </w:tc>
        <w:tc>
          <w:tcPr>
            <w:tcW w:w="2141" w:type="dxa"/>
          </w:tcPr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(0%)</w:t>
            </w:r>
          </w:p>
        </w:tc>
        <w:tc>
          <w:tcPr>
            <w:tcW w:w="1907" w:type="dxa"/>
          </w:tcPr>
          <w:p w:rsidR="0044707A" w:rsidRPr="00466725" w:rsidRDefault="00A139C2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4707A" w:rsidRPr="00466725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9C2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Pr="00466725" w:rsidRDefault="0044707A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5118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141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Pr="00466725" w:rsidRDefault="0035162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44707A" w:rsidRPr="00466725" w:rsidRDefault="0044707A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9C2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2376" w:type="dxa"/>
          </w:tcPr>
          <w:p w:rsidR="0044707A" w:rsidRPr="00466725" w:rsidRDefault="0044707A" w:rsidP="0046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6725"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4707A" w:rsidTr="00735201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73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1" w:type="dxa"/>
          </w:tcPr>
          <w:p w:rsidR="0044707A" w:rsidRPr="00466725" w:rsidRDefault="00A139C2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1539</w:t>
            </w:r>
          </w:p>
        </w:tc>
        <w:tc>
          <w:tcPr>
            <w:tcW w:w="1907" w:type="dxa"/>
          </w:tcPr>
          <w:p w:rsidR="0044707A" w:rsidRPr="00466725" w:rsidRDefault="00A139C2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793</w:t>
            </w:r>
          </w:p>
        </w:tc>
        <w:tc>
          <w:tcPr>
            <w:tcW w:w="2376" w:type="dxa"/>
          </w:tcPr>
          <w:p w:rsidR="0044707A" w:rsidRPr="00466725" w:rsidRDefault="00BB4C85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+700</w:t>
            </w:r>
          </w:p>
          <w:p w:rsidR="00510EE6" w:rsidRPr="00466725" w:rsidRDefault="00510EE6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834189" w:rsidP="00834189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9400" cy="4743450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4189" w:rsidRDefault="00834189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D39" w:rsidRDefault="00BE1D39" w:rsidP="00BE1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1D39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Графиком личного приема </w:t>
      </w:r>
      <w:proofErr w:type="gramStart"/>
      <w:r w:rsidRPr="00BE1D3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E1D39">
        <w:rPr>
          <w:rFonts w:ascii="Times New Roman" w:hAnsi="Times New Roman" w:cs="Times New Roman"/>
          <w:sz w:val="28"/>
          <w:szCs w:val="28"/>
        </w:rPr>
        <w:t xml:space="preserve"> </w:t>
      </w:r>
      <w:r w:rsidR="00735201">
        <w:rPr>
          <w:rFonts w:ascii="Times New Roman" w:hAnsi="Times New Roman" w:cs="Times New Roman"/>
          <w:sz w:val="28"/>
          <w:szCs w:val="28"/>
        </w:rPr>
        <w:t xml:space="preserve">Исполняющим обязанности Министра, </w:t>
      </w:r>
      <w:r w:rsidRPr="00BE1D39">
        <w:rPr>
          <w:rFonts w:ascii="Times New Roman" w:hAnsi="Times New Roman" w:cs="Times New Roman"/>
          <w:sz w:val="28"/>
          <w:szCs w:val="28"/>
        </w:rPr>
        <w:t xml:space="preserve">заместителями Министра, директорами департаментов Министерства, уполномоченными сотрудниками Министерства с 1 </w:t>
      </w:r>
      <w:r w:rsidR="00735201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BE1D39">
        <w:rPr>
          <w:rFonts w:ascii="Times New Roman" w:hAnsi="Times New Roman" w:cs="Times New Roman"/>
          <w:sz w:val="28"/>
          <w:szCs w:val="28"/>
        </w:rPr>
        <w:t xml:space="preserve"> по 30 </w:t>
      </w:r>
      <w:r w:rsidR="00ED2D9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E1D39">
        <w:rPr>
          <w:rFonts w:ascii="Times New Roman" w:hAnsi="Times New Roman" w:cs="Times New Roman"/>
          <w:sz w:val="28"/>
          <w:szCs w:val="28"/>
        </w:rPr>
        <w:t xml:space="preserve">  2020 года в</w:t>
      </w:r>
      <w:r w:rsidR="00735201">
        <w:rPr>
          <w:rFonts w:ascii="Times New Roman" w:hAnsi="Times New Roman" w:cs="Times New Roman"/>
          <w:sz w:val="28"/>
          <w:szCs w:val="28"/>
        </w:rPr>
        <w:t xml:space="preserve"> приемной </w:t>
      </w:r>
      <w:r w:rsidRPr="00BE1D39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F08BC">
        <w:rPr>
          <w:rFonts w:ascii="Times New Roman" w:hAnsi="Times New Roman" w:cs="Times New Roman"/>
          <w:sz w:val="28"/>
          <w:szCs w:val="28"/>
        </w:rPr>
        <w:t>а</w:t>
      </w:r>
      <w:r w:rsidRPr="00BE1D39">
        <w:rPr>
          <w:rFonts w:ascii="Times New Roman" w:hAnsi="Times New Roman" w:cs="Times New Roman"/>
          <w:sz w:val="28"/>
          <w:szCs w:val="28"/>
        </w:rPr>
        <w:t xml:space="preserve">  проведен прием </w:t>
      </w:r>
      <w:r w:rsidR="00735201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9F08BC">
        <w:rPr>
          <w:rFonts w:ascii="Times New Roman" w:hAnsi="Times New Roman" w:cs="Times New Roman"/>
          <w:sz w:val="28"/>
          <w:szCs w:val="28"/>
        </w:rPr>
        <w:t xml:space="preserve"> </w:t>
      </w:r>
      <w:r w:rsidR="00735201">
        <w:rPr>
          <w:rFonts w:ascii="Times New Roman" w:hAnsi="Times New Roman" w:cs="Times New Roman"/>
          <w:sz w:val="28"/>
          <w:szCs w:val="28"/>
        </w:rPr>
        <w:t>в количестве 21 человека.</w:t>
      </w: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F4" w:rsidRPr="00EC41F4" w:rsidRDefault="00EC41F4" w:rsidP="00EC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01" w:rsidRPr="00BE1D39" w:rsidRDefault="00735201" w:rsidP="00735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обращений граждан в разрезе МО области.</w:t>
      </w:r>
    </w:p>
    <w:p w:rsidR="0044707A" w:rsidRDefault="0044707A" w:rsidP="0044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8BC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районов области.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3510"/>
        <w:gridCol w:w="1150"/>
        <w:gridCol w:w="1263"/>
        <w:gridCol w:w="1273"/>
        <w:gridCol w:w="1276"/>
        <w:gridCol w:w="1417"/>
        <w:gridCol w:w="992"/>
      </w:tblGrid>
      <w:tr w:rsidR="00ED2D9D" w:rsidTr="00ED2D9D">
        <w:tc>
          <w:tcPr>
            <w:tcW w:w="3510" w:type="dxa"/>
          </w:tcPr>
          <w:p w:rsidR="00ED2D9D" w:rsidRPr="00550012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50" w:type="dxa"/>
          </w:tcPr>
          <w:p w:rsidR="00ED2D9D" w:rsidRPr="00550012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1263" w:type="dxa"/>
          </w:tcPr>
          <w:p w:rsidR="00ED2D9D" w:rsidRPr="00550012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73" w:type="dxa"/>
          </w:tcPr>
          <w:p w:rsidR="00ED2D9D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10 тыс. населения</w:t>
            </w:r>
          </w:p>
          <w:p w:rsidR="00ED2D9D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276" w:type="dxa"/>
          </w:tcPr>
          <w:p w:rsidR="00ED2D9D" w:rsidRPr="00550012" w:rsidRDefault="00ED2D9D" w:rsidP="00B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</w:t>
            </w:r>
            <w:r w:rsidR="000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ED2D9D" w:rsidRDefault="00ED2D9D" w:rsidP="0025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10 тыс. населения</w:t>
            </w:r>
          </w:p>
          <w:p w:rsidR="00ED2D9D" w:rsidRDefault="00ED2D9D" w:rsidP="0025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992" w:type="dxa"/>
          </w:tcPr>
          <w:p w:rsidR="00ED2D9D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ED2D9D" w:rsidRPr="00550012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ED2D9D" w:rsidTr="00ED2D9D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D2D9D" w:rsidRPr="001F6E88" w:rsidRDefault="00ED2D9D" w:rsidP="00735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D9D" w:rsidRPr="001F6E88" w:rsidRDefault="00ED2D9D" w:rsidP="00735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2D9D" w:rsidRPr="001F6E88" w:rsidRDefault="00ED2D9D" w:rsidP="007352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2D9D" w:rsidRPr="000A6D6C" w:rsidTr="00ED2D9D">
        <w:trPr>
          <w:trHeight w:val="4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2D9D" w:rsidRPr="000A6D6C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Ульяновск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625 000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 w:rsidR="00ED2D9D" w:rsidTr="00ED2D9D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2D9D" w:rsidRPr="008D4FD4" w:rsidRDefault="00ED2D9D" w:rsidP="009B4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46 000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ED2D9D" w:rsidRPr="008D4FD4" w:rsidRDefault="0056398C" w:rsidP="008725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6,31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+10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4,55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7,28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имитровград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44,87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45,66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007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8,92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8,11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CD4B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8,15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+3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5,77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2,70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4,76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5,39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D2D9D" w:rsidRPr="008D4FD4" w:rsidRDefault="0056398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2,61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-14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4B6B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1,88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-4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+4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-9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5,50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5,50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2,63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+3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D2D9D" w:rsidRPr="008D4FD4" w:rsidRDefault="00782D2C" w:rsidP="00ED2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5,26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8,06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+9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ED2D9D" w:rsidRPr="008D4FD4" w:rsidRDefault="00782D2C" w:rsidP="00ED2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6,07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r w:rsidR="00750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006</w:t>
            </w: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5,43</w:t>
            </w: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D2D9D" w:rsidRPr="008D4FD4" w:rsidRDefault="00782D2C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5,24</w:t>
            </w: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3" w:type="dxa"/>
            <w:shd w:val="clear" w:color="auto" w:fill="auto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ED2D9D" w:rsidRPr="008D4FD4" w:rsidRDefault="00ED2D9D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D9D" w:rsidRPr="008D4FD4" w:rsidRDefault="00750644" w:rsidP="007352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+9</w:t>
            </w:r>
          </w:p>
        </w:tc>
      </w:tr>
      <w:tr w:rsidR="00ED2D9D" w:rsidTr="00ED2D9D">
        <w:tc>
          <w:tcPr>
            <w:tcW w:w="3510" w:type="dxa"/>
            <w:shd w:val="clear" w:color="auto" w:fill="auto"/>
          </w:tcPr>
          <w:p w:rsidR="00ED2D9D" w:rsidRDefault="00ED2D9D" w:rsidP="00735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ED2D9D" w:rsidRPr="00183638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</w:p>
        </w:tc>
        <w:tc>
          <w:tcPr>
            <w:tcW w:w="1273" w:type="dxa"/>
            <w:shd w:val="clear" w:color="auto" w:fill="auto"/>
          </w:tcPr>
          <w:p w:rsidR="00ED2D9D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D2D9D" w:rsidRPr="00183638" w:rsidRDefault="00EE7328" w:rsidP="004B6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</w:t>
            </w:r>
          </w:p>
        </w:tc>
        <w:tc>
          <w:tcPr>
            <w:tcW w:w="1417" w:type="dxa"/>
          </w:tcPr>
          <w:p w:rsidR="00ED2D9D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D9D" w:rsidRDefault="00ED2D9D" w:rsidP="00735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0A45EF" w:rsidP="008341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91325" cy="6400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67E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83820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791" w:rsidRDefault="00343791" w:rsidP="00A3776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50532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76A" w:rsidRDefault="00A3776A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467AE" w:rsidRDefault="000A55CD" w:rsidP="00EC41F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>
        <w:rPr>
          <w:rFonts w:ascii="PT Astra Serif" w:hAnsi="PT Astra Serif" w:cs="Times New Roman"/>
          <w:sz w:val="28"/>
          <w:szCs w:val="28"/>
        </w:rPr>
        <w:t>а (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Засвияжск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 район  – </w:t>
      </w:r>
      <w:r w:rsidR="00E36053">
        <w:rPr>
          <w:rFonts w:ascii="PT Astra Serif" w:hAnsi="PT Astra Serif" w:cs="Times New Roman"/>
          <w:sz w:val="28"/>
          <w:szCs w:val="28"/>
        </w:rPr>
        <w:t>268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обращений,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36053">
        <w:rPr>
          <w:rFonts w:ascii="PT Astra Serif" w:hAnsi="PT Astra Serif" w:cs="Times New Roman"/>
          <w:sz w:val="28"/>
          <w:szCs w:val="28"/>
        </w:rPr>
        <w:t>132</w:t>
      </w:r>
      <w:r w:rsidR="00510EE6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- от  жителей  Ленинского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района, </w:t>
      </w:r>
      <w:r w:rsidR="00E36053">
        <w:rPr>
          <w:rFonts w:ascii="PT Astra Serif" w:hAnsi="PT Astra Serif" w:cs="Times New Roman"/>
          <w:sz w:val="28"/>
          <w:szCs w:val="28"/>
        </w:rPr>
        <w:t xml:space="preserve">184 </w:t>
      </w:r>
      <w:r w:rsidRPr="00896FBC">
        <w:rPr>
          <w:rFonts w:ascii="PT Astra Serif" w:hAnsi="PT Astra Serif" w:cs="Times New Roman"/>
          <w:sz w:val="28"/>
          <w:szCs w:val="28"/>
        </w:rPr>
        <w:t xml:space="preserve">- от жителей  Заволжского района  и </w:t>
      </w:r>
      <w:r w:rsidR="00510EE6">
        <w:rPr>
          <w:rFonts w:ascii="PT Astra Serif" w:hAnsi="PT Astra Serif" w:cs="Times New Roman"/>
          <w:sz w:val="28"/>
          <w:szCs w:val="28"/>
        </w:rPr>
        <w:t xml:space="preserve"> </w:t>
      </w:r>
      <w:r w:rsidR="00E36053">
        <w:rPr>
          <w:rFonts w:ascii="PT Astra Serif" w:hAnsi="PT Astra Serif" w:cs="Times New Roman"/>
          <w:sz w:val="28"/>
          <w:szCs w:val="28"/>
        </w:rPr>
        <w:t xml:space="preserve">84 </w:t>
      </w:r>
      <w:r w:rsidRPr="00896FB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10EE6">
        <w:rPr>
          <w:rFonts w:ascii="PT Astra Serif" w:hAnsi="PT Astra Serif" w:cs="Times New Roman"/>
          <w:sz w:val="28"/>
          <w:szCs w:val="28"/>
        </w:rPr>
        <w:t xml:space="preserve">я </w:t>
      </w:r>
      <w:r w:rsidRPr="00896FBC">
        <w:rPr>
          <w:rFonts w:ascii="PT Astra Serif" w:hAnsi="PT Astra Serif" w:cs="Times New Roman"/>
          <w:sz w:val="28"/>
          <w:szCs w:val="28"/>
        </w:rPr>
        <w:t xml:space="preserve"> поступило из Железнодорожного района города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Ульяновска</w:t>
      </w:r>
      <w:r>
        <w:rPr>
          <w:rFonts w:ascii="PT Astra Serif" w:hAnsi="PT Astra Serif" w:cs="Times New Roman"/>
          <w:sz w:val="28"/>
          <w:szCs w:val="28"/>
        </w:rPr>
        <w:t>)</w:t>
      </w:r>
      <w:r w:rsidRPr="00896FBC">
        <w:rPr>
          <w:rFonts w:ascii="PT Astra Serif" w:hAnsi="PT Astra Serif" w:cs="Times New Roman"/>
          <w:sz w:val="28"/>
          <w:szCs w:val="28"/>
        </w:rPr>
        <w:t>.</w:t>
      </w:r>
    </w:p>
    <w:p w:rsidR="00EC41F4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 Всего от жителей города Ульяновска </w:t>
      </w: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E36053">
        <w:rPr>
          <w:rFonts w:ascii="PT Astra Serif" w:hAnsi="PT Astra Serif" w:cs="Times New Roman"/>
          <w:sz w:val="28"/>
          <w:szCs w:val="28"/>
        </w:rPr>
        <w:t>3</w:t>
      </w:r>
      <w:r w:rsidR="00510EE6">
        <w:rPr>
          <w:rFonts w:ascii="PT Astra Serif" w:hAnsi="PT Astra Serif" w:cs="Times New Roman"/>
          <w:sz w:val="28"/>
          <w:szCs w:val="28"/>
        </w:rPr>
        <w:t xml:space="preserve"> квартал </w:t>
      </w:r>
      <w:r>
        <w:rPr>
          <w:rFonts w:ascii="PT Astra Serif" w:hAnsi="PT Astra Serif" w:cs="Times New Roman"/>
          <w:sz w:val="28"/>
          <w:szCs w:val="28"/>
        </w:rPr>
        <w:t>20</w:t>
      </w:r>
      <w:r w:rsidR="00510EE6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года поступило</w:t>
      </w:r>
      <w:r w:rsidR="00E36053">
        <w:rPr>
          <w:rFonts w:ascii="PT Astra Serif" w:hAnsi="PT Astra Serif" w:cs="Times New Roman"/>
          <w:sz w:val="28"/>
          <w:szCs w:val="28"/>
        </w:rPr>
        <w:t xml:space="preserve"> 667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0A55CD" w:rsidRDefault="00E36053" w:rsidP="00EC41F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(2 квартал –</w:t>
      </w:r>
      <w:r w:rsidR="000A55CD"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711</w:t>
      </w:r>
      <w:r>
        <w:rPr>
          <w:rFonts w:ascii="PT Astra Serif" w:hAnsi="PT Astra Serif" w:cs="Times New Roman"/>
          <w:sz w:val="28"/>
          <w:szCs w:val="28"/>
        </w:rPr>
        <w:t>)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 xml:space="preserve">обращений.  </w:t>
      </w:r>
    </w:p>
    <w:p w:rsidR="000A55CD" w:rsidRPr="00896FBC" w:rsidRDefault="00E36053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37</w:t>
      </w:r>
      <w:r w:rsidR="000A55C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24F9D">
        <w:rPr>
          <w:rFonts w:ascii="PT Astra Serif" w:hAnsi="PT Astra Serif" w:cs="Times New Roman"/>
          <w:sz w:val="28"/>
          <w:szCs w:val="28"/>
        </w:rPr>
        <w:t>й</w:t>
      </w:r>
      <w:r w:rsidR="000A55CD">
        <w:rPr>
          <w:rFonts w:ascii="PT Astra Serif" w:hAnsi="PT Astra Serif" w:cs="Times New Roman"/>
          <w:sz w:val="28"/>
          <w:szCs w:val="28"/>
        </w:rPr>
        <w:t xml:space="preserve"> поступило от жителей других регионов.</w:t>
      </w:r>
    </w:p>
    <w:p w:rsidR="000A55CD" w:rsidRDefault="00EC41F4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 г</w:t>
      </w:r>
      <w:proofErr w:type="gramStart"/>
      <w:r>
        <w:rPr>
          <w:rFonts w:ascii="PT Astra Serif" w:hAnsi="PT Astra Serif" w:cs="Times New Roman"/>
          <w:sz w:val="28"/>
          <w:szCs w:val="28"/>
        </w:rPr>
        <w:t>.</w:t>
      </w:r>
      <w:r w:rsidR="000A55CD" w:rsidRPr="00896FBC">
        <w:rPr>
          <w:rFonts w:ascii="PT Astra Serif" w:hAnsi="PT Astra Serif" w:cs="Times New Roman"/>
          <w:sz w:val="28"/>
          <w:szCs w:val="28"/>
        </w:rPr>
        <w:t>Д</w:t>
      </w:r>
      <w:proofErr w:type="gramEnd"/>
      <w:r w:rsidR="000A55CD" w:rsidRPr="00896FBC">
        <w:rPr>
          <w:rFonts w:ascii="PT Astra Serif" w:hAnsi="PT Astra Serif" w:cs="Times New Roman"/>
          <w:sz w:val="28"/>
          <w:szCs w:val="28"/>
        </w:rPr>
        <w:t xml:space="preserve">имитровграда </w:t>
      </w:r>
      <w:r w:rsidR="000A55CD">
        <w:rPr>
          <w:rFonts w:ascii="PT Astra Serif" w:hAnsi="PT Astra Serif" w:cs="Times New Roman"/>
          <w:sz w:val="28"/>
          <w:szCs w:val="28"/>
        </w:rPr>
        <w:t xml:space="preserve"> </w:t>
      </w:r>
      <w:r w:rsidR="000A55CD" w:rsidRPr="00896FBC">
        <w:rPr>
          <w:rFonts w:ascii="PT Astra Serif" w:hAnsi="PT Astra Serif" w:cs="Times New Roman"/>
          <w:sz w:val="28"/>
          <w:szCs w:val="28"/>
        </w:rPr>
        <w:t>поступило -</w:t>
      </w:r>
      <w:r w:rsidR="000A55CD">
        <w:rPr>
          <w:rFonts w:ascii="PT Astra Serif" w:hAnsi="PT Astra Serif" w:cs="Times New Roman"/>
          <w:sz w:val="28"/>
          <w:szCs w:val="28"/>
        </w:rPr>
        <w:t xml:space="preserve"> </w:t>
      </w:r>
      <w:r w:rsidR="00E36053">
        <w:rPr>
          <w:rFonts w:ascii="PT Astra Serif" w:hAnsi="PT Astra Serif" w:cs="Times New Roman"/>
          <w:sz w:val="28"/>
          <w:szCs w:val="28"/>
        </w:rPr>
        <w:t>58</w:t>
      </w:r>
      <w:r w:rsidR="000A55CD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 xml:space="preserve">обращений. Среди муниципальных образований больше всего обращений поступило из </w:t>
      </w:r>
      <w:r w:rsidR="00E36053">
        <w:rPr>
          <w:rFonts w:ascii="PT Astra Serif" w:hAnsi="PT Astra Serif" w:cs="Times New Roman"/>
          <w:sz w:val="28"/>
          <w:szCs w:val="28"/>
        </w:rPr>
        <w:t>Ульяновского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>района</w:t>
      </w:r>
      <w:r w:rsidR="00841445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>-</w:t>
      </w:r>
      <w:r w:rsidR="00841445"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2</w:t>
      </w:r>
      <w:r w:rsidR="00E36053">
        <w:rPr>
          <w:rFonts w:ascii="PT Astra Serif" w:hAnsi="PT Astra Serif" w:cs="Times New Roman"/>
          <w:sz w:val="28"/>
          <w:szCs w:val="28"/>
        </w:rPr>
        <w:t>9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 xml:space="preserve">обращений,  </w:t>
      </w:r>
      <w:proofErr w:type="spellStart"/>
      <w:r w:rsidR="00F2790B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5467AE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 xml:space="preserve">района </w:t>
      </w:r>
      <w:r w:rsidR="00841445">
        <w:rPr>
          <w:rFonts w:ascii="PT Astra Serif" w:hAnsi="PT Astra Serif" w:cs="Times New Roman"/>
          <w:sz w:val="28"/>
          <w:szCs w:val="28"/>
        </w:rPr>
        <w:t>-</w:t>
      </w:r>
      <w:r w:rsidR="000A55CD"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3</w:t>
      </w:r>
      <w:r w:rsidR="00E36053">
        <w:rPr>
          <w:rFonts w:ascii="PT Astra Serif" w:hAnsi="PT Astra Serif" w:cs="Times New Roman"/>
          <w:sz w:val="28"/>
          <w:szCs w:val="28"/>
        </w:rPr>
        <w:t>0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 w:rsidR="000A55C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>
        <w:rPr>
          <w:rFonts w:ascii="PT Astra Serif" w:hAnsi="PT Astra Serif" w:cs="Times New Roman"/>
          <w:sz w:val="28"/>
          <w:szCs w:val="28"/>
        </w:rPr>
        <w:t>й</w:t>
      </w:r>
      <w:r w:rsidR="00E12CDC">
        <w:rPr>
          <w:rFonts w:ascii="PT Astra Serif" w:hAnsi="PT Astra Serif" w:cs="Times New Roman"/>
          <w:sz w:val="28"/>
          <w:szCs w:val="28"/>
        </w:rPr>
        <w:t>,</w:t>
      </w:r>
      <w:r w:rsidR="00E12CDC" w:rsidRPr="00E12CDC">
        <w:rPr>
          <w:rFonts w:ascii="PT Astra Serif" w:hAnsi="PT Astra Serif" w:cs="Times New Roman"/>
          <w:sz w:val="28"/>
          <w:szCs w:val="28"/>
        </w:rPr>
        <w:t xml:space="preserve"> </w:t>
      </w:r>
      <w:r w:rsidR="00E12CDC">
        <w:rPr>
          <w:rFonts w:ascii="PT Astra Serif" w:hAnsi="PT Astra Serif" w:cs="Times New Roman"/>
          <w:sz w:val="28"/>
          <w:szCs w:val="28"/>
        </w:rPr>
        <w:t xml:space="preserve">Новоспасского района </w:t>
      </w:r>
      <w:r w:rsidR="00841445">
        <w:rPr>
          <w:rFonts w:ascii="PT Astra Serif" w:hAnsi="PT Astra Serif" w:cs="Times New Roman"/>
          <w:sz w:val="28"/>
          <w:szCs w:val="28"/>
        </w:rPr>
        <w:t>-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E12CDC">
        <w:rPr>
          <w:rFonts w:ascii="PT Astra Serif" w:hAnsi="PT Astra Serif" w:cs="Times New Roman"/>
          <w:sz w:val="28"/>
          <w:szCs w:val="28"/>
        </w:rPr>
        <w:t xml:space="preserve"> 20 обращений, </w:t>
      </w:r>
      <w:proofErr w:type="spellStart"/>
      <w:r w:rsidR="00E36053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 w:rsidR="00E12CDC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r w:rsidR="00E12CDC">
        <w:rPr>
          <w:rFonts w:ascii="PT Astra Serif" w:hAnsi="PT Astra Serif" w:cs="Times New Roman"/>
          <w:sz w:val="28"/>
          <w:szCs w:val="28"/>
        </w:rPr>
        <w:t>-</w:t>
      </w:r>
      <w:r w:rsidR="00E36053">
        <w:rPr>
          <w:rFonts w:ascii="PT Astra Serif" w:hAnsi="PT Astra Serif" w:cs="Times New Roman"/>
          <w:sz w:val="28"/>
          <w:szCs w:val="28"/>
        </w:rPr>
        <w:t xml:space="preserve"> 29</w:t>
      </w:r>
      <w:r w:rsidR="00A3776A">
        <w:rPr>
          <w:rFonts w:ascii="PT Astra Serif" w:hAnsi="PT Astra Serif" w:cs="Times New Roman"/>
          <w:sz w:val="28"/>
          <w:szCs w:val="28"/>
        </w:rPr>
        <w:t xml:space="preserve"> обращений.</w:t>
      </w:r>
      <w:r w:rsidR="00E36053">
        <w:rPr>
          <w:rFonts w:ascii="PT Astra Serif" w:hAnsi="PT Astra Serif" w:cs="Times New Roman"/>
          <w:sz w:val="28"/>
          <w:szCs w:val="28"/>
        </w:rPr>
        <w:t xml:space="preserve"> По 22 обращения поступило из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841445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841445">
        <w:rPr>
          <w:rFonts w:ascii="PT Astra Serif" w:hAnsi="PT Astra Serif" w:cs="Times New Roman"/>
          <w:sz w:val="28"/>
          <w:szCs w:val="28"/>
        </w:rPr>
        <w:t xml:space="preserve"> районов,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 xml:space="preserve">21 обращение из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841445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841445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r w:rsidR="005467A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Вешкаймского</w:t>
      </w:r>
      <w:proofErr w:type="spellEnd"/>
      <w:r w:rsidR="00841445">
        <w:rPr>
          <w:rFonts w:ascii="PT Astra Serif" w:hAnsi="PT Astra Serif" w:cs="Times New Roman"/>
          <w:sz w:val="28"/>
          <w:szCs w:val="28"/>
        </w:rPr>
        <w:t xml:space="preserve"> </w:t>
      </w:r>
      <w:r w:rsidR="005467AE">
        <w:rPr>
          <w:rFonts w:ascii="PT Astra Serif" w:hAnsi="PT Astra Serif" w:cs="Times New Roman"/>
          <w:sz w:val="28"/>
          <w:szCs w:val="28"/>
        </w:rPr>
        <w:t xml:space="preserve"> -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5467AE">
        <w:rPr>
          <w:rFonts w:ascii="PT Astra Serif" w:hAnsi="PT Astra Serif" w:cs="Times New Roman"/>
          <w:sz w:val="28"/>
          <w:szCs w:val="28"/>
        </w:rPr>
        <w:t>1</w:t>
      </w:r>
      <w:r w:rsidR="00841445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715FB">
        <w:rPr>
          <w:rFonts w:ascii="PT Astra Serif" w:hAnsi="PT Astra Serif" w:cs="Times New Roman"/>
          <w:sz w:val="28"/>
          <w:szCs w:val="28"/>
        </w:rPr>
        <w:t>Цильнинского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5467AE">
        <w:rPr>
          <w:rFonts w:ascii="PT Astra Serif" w:hAnsi="PT Astra Serif" w:cs="Times New Roman"/>
          <w:sz w:val="28"/>
          <w:szCs w:val="28"/>
        </w:rPr>
        <w:t>1</w:t>
      </w:r>
      <w:r w:rsidR="00841445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,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Маинского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841445">
        <w:rPr>
          <w:rFonts w:ascii="PT Astra Serif" w:hAnsi="PT Astra Serif" w:cs="Times New Roman"/>
          <w:sz w:val="28"/>
          <w:szCs w:val="28"/>
        </w:rPr>
        <w:t>13</w:t>
      </w:r>
      <w:r>
        <w:rPr>
          <w:rFonts w:ascii="PT Astra Serif" w:hAnsi="PT Astra Serif" w:cs="Times New Roman"/>
          <w:sz w:val="28"/>
          <w:szCs w:val="28"/>
        </w:rPr>
        <w:t>,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Старомаинского</w:t>
      </w:r>
      <w:proofErr w:type="spellEnd"/>
      <w:r w:rsidR="00A715FB">
        <w:rPr>
          <w:rFonts w:ascii="PT Astra Serif" w:hAnsi="PT Astra Serif" w:cs="Times New Roman"/>
          <w:sz w:val="28"/>
          <w:szCs w:val="28"/>
        </w:rPr>
        <w:t xml:space="preserve">  - </w:t>
      </w:r>
      <w:r w:rsidR="00841445">
        <w:rPr>
          <w:rFonts w:ascii="PT Astra Serif" w:hAnsi="PT Astra Serif" w:cs="Times New Roman"/>
          <w:sz w:val="28"/>
          <w:szCs w:val="28"/>
        </w:rPr>
        <w:t>11</w:t>
      </w:r>
      <w:r w:rsidR="00A715FB">
        <w:rPr>
          <w:rFonts w:ascii="PT Astra Serif" w:hAnsi="PT Astra Serif" w:cs="Times New Roman"/>
          <w:sz w:val="28"/>
          <w:szCs w:val="28"/>
        </w:rPr>
        <w:t xml:space="preserve"> районов.</w:t>
      </w:r>
      <w:r w:rsidR="00E12CDC">
        <w:rPr>
          <w:rFonts w:ascii="PT Astra Serif" w:hAnsi="PT Astra Serif" w:cs="Times New Roman"/>
          <w:sz w:val="28"/>
          <w:szCs w:val="28"/>
        </w:rPr>
        <w:t xml:space="preserve"> </w:t>
      </w:r>
    </w:p>
    <w:p w:rsidR="000A55CD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Самая низкая активность граждан </w:t>
      </w: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отмечается </w:t>
      </w:r>
      <w:r w:rsidR="00E941EE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Новомалыклинск</w:t>
      </w:r>
      <w:r w:rsidR="00EC41F4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="00EC41F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C41F4">
        <w:rPr>
          <w:rFonts w:ascii="PT Astra Serif" w:hAnsi="PT Astra Serif" w:cs="Times New Roman"/>
          <w:sz w:val="28"/>
          <w:szCs w:val="28"/>
        </w:rPr>
        <w:t>района</w:t>
      </w:r>
      <w:proofErr w:type="gramEnd"/>
      <w:r w:rsidR="00EC41F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E941EE">
        <w:rPr>
          <w:rFonts w:ascii="PT Astra Serif" w:hAnsi="PT Astra Serif" w:cs="Times New Roman"/>
          <w:sz w:val="28"/>
          <w:szCs w:val="28"/>
        </w:rPr>
        <w:t>2</w:t>
      </w:r>
      <w:r w:rsidR="00A715FB">
        <w:rPr>
          <w:rFonts w:ascii="PT Astra Serif" w:hAnsi="PT Astra Serif" w:cs="Times New Roman"/>
          <w:sz w:val="28"/>
          <w:szCs w:val="28"/>
        </w:rPr>
        <w:t xml:space="preserve">,  </w:t>
      </w:r>
      <w:r w:rsidR="00EC41F4">
        <w:rPr>
          <w:rFonts w:ascii="PT Astra Serif" w:hAnsi="PT Astra Serif" w:cs="Times New Roman"/>
          <w:sz w:val="28"/>
          <w:szCs w:val="28"/>
        </w:rPr>
        <w:t>Павловского</w:t>
      </w:r>
      <w:r>
        <w:rPr>
          <w:rFonts w:ascii="PT Astra Serif" w:hAnsi="PT Astra Serif" w:cs="Times New Roman"/>
          <w:sz w:val="28"/>
          <w:szCs w:val="28"/>
        </w:rPr>
        <w:t xml:space="preserve"> -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3,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C41F4">
        <w:rPr>
          <w:rFonts w:ascii="PT Astra Serif" w:hAnsi="PT Astra Serif" w:cs="Times New Roman"/>
          <w:sz w:val="28"/>
          <w:szCs w:val="28"/>
        </w:rPr>
        <w:t>Старокулаткинского</w:t>
      </w:r>
      <w:proofErr w:type="spellEnd"/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-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4,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C41F4">
        <w:rPr>
          <w:rFonts w:ascii="PT Astra Serif" w:hAnsi="PT Astra Serif" w:cs="Times New Roman"/>
          <w:sz w:val="28"/>
          <w:szCs w:val="28"/>
        </w:rPr>
        <w:t>Сенгилеевского</w:t>
      </w:r>
      <w:proofErr w:type="spellEnd"/>
      <w:r w:rsidR="00EC41F4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-</w:t>
      </w:r>
      <w:r w:rsidR="00A715FB">
        <w:rPr>
          <w:rFonts w:ascii="PT Astra Serif" w:hAnsi="PT Astra Serif" w:cs="Times New Roman"/>
          <w:sz w:val="28"/>
          <w:szCs w:val="28"/>
        </w:rPr>
        <w:t xml:space="preserve">  </w:t>
      </w:r>
      <w:r w:rsidR="00841445">
        <w:rPr>
          <w:rFonts w:ascii="PT Astra Serif" w:hAnsi="PT Astra Serif" w:cs="Times New Roman"/>
          <w:sz w:val="28"/>
          <w:szCs w:val="28"/>
        </w:rPr>
        <w:t>5,</w:t>
      </w:r>
      <w:r w:rsidR="00A715FB">
        <w:rPr>
          <w:rFonts w:ascii="PT Astra Serif" w:hAnsi="PT Astra Serif" w:cs="Times New Roman"/>
          <w:sz w:val="28"/>
          <w:szCs w:val="28"/>
        </w:rPr>
        <w:t xml:space="preserve">  </w:t>
      </w:r>
      <w:r w:rsidR="00EC41F4">
        <w:rPr>
          <w:rFonts w:ascii="PT Astra Serif" w:hAnsi="PT Astra Serif" w:cs="Times New Roman"/>
          <w:sz w:val="28"/>
          <w:szCs w:val="28"/>
        </w:rPr>
        <w:t>Сурского</w:t>
      </w:r>
      <w:r w:rsidR="00F46CCC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-</w:t>
      </w:r>
      <w:r w:rsidR="00F46CCC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5,</w:t>
      </w:r>
      <w:r w:rsidR="00A715FB">
        <w:rPr>
          <w:rFonts w:ascii="PT Astra Serif" w:hAnsi="PT Astra Serif" w:cs="Times New Roman"/>
          <w:sz w:val="28"/>
          <w:szCs w:val="28"/>
        </w:rPr>
        <w:t xml:space="preserve">  </w:t>
      </w:r>
      <w:r w:rsidR="00EC41F4">
        <w:rPr>
          <w:rFonts w:ascii="PT Astra Serif" w:hAnsi="PT Astra Serif" w:cs="Times New Roman"/>
          <w:sz w:val="28"/>
          <w:szCs w:val="28"/>
        </w:rPr>
        <w:t>Новоспасского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-</w:t>
      </w:r>
      <w:r w:rsidR="00A715FB">
        <w:rPr>
          <w:rFonts w:ascii="PT Astra Serif" w:hAnsi="PT Astra Serif" w:cs="Times New Roman"/>
          <w:sz w:val="28"/>
          <w:szCs w:val="28"/>
        </w:rPr>
        <w:t xml:space="preserve">  </w:t>
      </w:r>
      <w:r w:rsidR="00841445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 обращения.</w:t>
      </w:r>
      <w:r w:rsidR="00A715FB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 xml:space="preserve">Из </w:t>
      </w:r>
      <w:proofErr w:type="spellStart"/>
      <w:r w:rsidR="00841445">
        <w:rPr>
          <w:rFonts w:ascii="PT Astra Serif" w:hAnsi="PT Astra Serif" w:cs="Times New Roman"/>
          <w:sz w:val="28"/>
          <w:szCs w:val="28"/>
        </w:rPr>
        <w:t>Базарносызганского</w:t>
      </w:r>
      <w:proofErr w:type="spellEnd"/>
      <w:r w:rsidR="00EC41F4">
        <w:rPr>
          <w:rFonts w:ascii="PT Astra Serif" w:hAnsi="PT Astra Serif" w:cs="Times New Roman"/>
          <w:sz w:val="28"/>
          <w:szCs w:val="28"/>
        </w:rPr>
        <w:t xml:space="preserve"> </w:t>
      </w:r>
      <w:r w:rsidR="00841445">
        <w:rPr>
          <w:rFonts w:ascii="PT Astra Serif" w:hAnsi="PT Astra Serif" w:cs="Times New Roman"/>
          <w:sz w:val="28"/>
          <w:szCs w:val="28"/>
        </w:rPr>
        <w:t>района в третьем квартале 2020 года обращений не поступало.</w:t>
      </w:r>
    </w:p>
    <w:p w:rsidR="00E941EE" w:rsidRDefault="00A715FB" w:rsidP="00D469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Количе</w:t>
      </w:r>
      <w:r w:rsidR="00F46CCC">
        <w:rPr>
          <w:rFonts w:ascii="PT Astra Serif" w:hAnsi="PT Astra Serif" w:cs="Times New Roman"/>
          <w:sz w:val="28"/>
          <w:szCs w:val="28"/>
        </w:rPr>
        <w:t>ство обращений продолжает расти, за 9 месяцев 2020 года всего поступило 4032 обращения, это на 915 обращений больше, чем за аналогичный  период 2019 года (3117 обращений).</w:t>
      </w:r>
      <w:r w:rsidR="000A55CD">
        <w:rPr>
          <w:rFonts w:ascii="PT Astra Serif" w:hAnsi="PT Astra Serif" w:cs="Times New Roman"/>
          <w:sz w:val="28"/>
          <w:szCs w:val="28"/>
        </w:rPr>
        <w:t xml:space="preserve">  </w:t>
      </w:r>
      <w:r w:rsidR="00F46CCC">
        <w:rPr>
          <w:rFonts w:ascii="PT Astra Serif" w:hAnsi="PT Astra Serif" w:cs="Times New Roman"/>
          <w:sz w:val="28"/>
          <w:szCs w:val="28"/>
        </w:rPr>
        <w:t>Повышение активности граждан объясняется сложной эпидемиологической ситуацией и увеличением перечня оказываемых услуг</w:t>
      </w:r>
      <w:r w:rsidR="00925F96">
        <w:rPr>
          <w:rFonts w:ascii="PT Astra Serif" w:hAnsi="PT Astra Serif" w:cs="Times New Roman"/>
          <w:sz w:val="28"/>
          <w:szCs w:val="28"/>
        </w:rPr>
        <w:t>.</w:t>
      </w:r>
    </w:p>
    <w:p w:rsidR="00F46CCC" w:rsidRPr="00D4691C" w:rsidRDefault="00F46CCC" w:rsidP="00D469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91" w:rsidRPr="00110FD4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343791" w:rsidRPr="00D93DE5" w:rsidRDefault="00343791" w:rsidP="0034379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6917"/>
        <w:gridCol w:w="3544"/>
      </w:tblGrid>
      <w:tr w:rsidR="00343791" w:rsidRPr="00D93DE5" w:rsidTr="000F647D">
        <w:trPr>
          <w:trHeight w:val="518"/>
        </w:trPr>
        <w:tc>
          <w:tcPr>
            <w:tcW w:w="6917" w:type="dxa"/>
            <w:shd w:val="clear" w:color="auto" w:fill="auto"/>
          </w:tcPr>
          <w:p w:rsidR="00343791" w:rsidRPr="00D93DE5" w:rsidRDefault="00343791" w:rsidP="00735201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3544" w:type="dxa"/>
            <w:shd w:val="clear" w:color="auto" w:fill="auto"/>
          </w:tcPr>
          <w:p w:rsidR="00343791" w:rsidRPr="00D93DE5" w:rsidRDefault="00925F96" w:rsidP="0098217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8217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343791" w:rsidRPr="00D93DE5" w:rsidTr="000F647D">
        <w:trPr>
          <w:trHeight w:val="661"/>
        </w:trPr>
        <w:tc>
          <w:tcPr>
            <w:tcW w:w="6917" w:type="dxa"/>
            <w:shd w:val="clear" w:color="auto" w:fill="auto"/>
          </w:tcPr>
          <w:p w:rsidR="00343791" w:rsidRPr="00D93DE5" w:rsidRDefault="00343791" w:rsidP="00735201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 xml:space="preserve">Отказано </w:t>
            </w:r>
            <w:r>
              <w:rPr>
                <w:rFonts w:ascii="PT Astra Serif" w:hAnsi="PT Astra Serif"/>
                <w:sz w:val="28"/>
                <w:szCs w:val="28"/>
              </w:rPr>
              <w:t>из-за необоснованности обращения</w:t>
            </w:r>
          </w:p>
        </w:tc>
        <w:tc>
          <w:tcPr>
            <w:tcW w:w="3544" w:type="dxa"/>
            <w:shd w:val="clear" w:color="auto" w:fill="auto"/>
          </w:tcPr>
          <w:p w:rsidR="00343791" w:rsidRPr="00D93DE5" w:rsidRDefault="007B6056" w:rsidP="00735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</w:tr>
      <w:tr w:rsidR="00343791" w:rsidRPr="00D93DE5" w:rsidTr="000F647D">
        <w:trPr>
          <w:trHeight w:val="645"/>
        </w:trPr>
        <w:tc>
          <w:tcPr>
            <w:tcW w:w="6917" w:type="dxa"/>
            <w:shd w:val="clear" w:color="auto" w:fill="auto"/>
          </w:tcPr>
          <w:p w:rsidR="00343791" w:rsidRPr="00D93DE5" w:rsidRDefault="00343791" w:rsidP="00735201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3544" w:type="dxa"/>
            <w:shd w:val="clear" w:color="auto" w:fill="auto"/>
          </w:tcPr>
          <w:p w:rsidR="00343791" w:rsidRPr="00D93DE5" w:rsidRDefault="00925F96" w:rsidP="00735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1023</w:t>
            </w:r>
          </w:p>
        </w:tc>
      </w:tr>
      <w:tr w:rsidR="00343791" w:rsidRPr="00D93DE5" w:rsidTr="000F647D">
        <w:trPr>
          <w:trHeight w:val="676"/>
        </w:trPr>
        <w:tc>
          <w:tcPr>
            <w:tcW w:w="6917" w:type="dxa"/>
            <w:shd w:val="clear" w:color="auto" w:fill="auto"/>
          </w:tcPr>
          <w:p w:rsidR="00343791" w:rsidRPr="00D93DE5" w:rsidRDefault="00343791" w:rsidP="00735201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3544" w:type="dxa"/>
            <w:shd w:val="clear" w:color="auto" w:fill="auto"/>
          </w:tcPr>
          <w:p w:rsidR="00343791" w:rsidRDefault="00F46CCC" w:rsidP="00735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378</w:t>
            </w:r>
          </w:p>
          <w:p w:rsidR="00343791" w:rsidRPr="00D93DE5" w:rsidRDefault="00343791" w:rsidP="007352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43791" w:rsidRPr="00896FBC" w:rsidRDefault="00343791" w:rsidP="00F2790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F647D" w:rsidRDefault="00343791" w:rsidP="000F647D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4691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>Каждое обращение, поступившие в Министерство, рассмотрено руководством Министерства, по каждому обращению (жалобе) подготовлены и направлены ответ</w:t>
      </w:r>
      <w:r w:rsidR="000F647D">
        <w:rPr>
          <w:rFonts w:ascii="PT Astra Serif" w:hAnsi="PT Astra Serif" w:cs="Times New Roman"/>
          <w:sz w:val="28"/>
          <w:szCs w:val="28"/>
        </w:rPr>
        <w:t>ы в установленный законом срок.</w:t>
      </w:r>
      <w:r w:rsidR="00D4691C">
        <w:rPr>
          <w:rFonts w:ascii="PT Astra Serif" w:hAnsi="PT Astra Serif" w:cs="Times New Roman"/>
          <w:sz w:val="28"/>
          <w:szCs w:val="28"/>
        </w:rPr>
        <w:t xml:space="preserve"> </w:t>
      </w:r>
    </w:p>
    <w:p w:rsidR="004E1BD7" w:rsidRPr="004E1BD7" w:rsidRDefault="000F647D" w:rsidP="004E1BD7">
      <w:pPr>
        <w:pStyle w:val="a7"/>
        <w:shd w:val="clear" w:color="auto" w:fill="FFFFFF"/>
        <w:spacing w:before="0" w:beforeAutospacing="0" w:after="450" w:afterAutospacing="0"/>
        <w:jc w:val="center"/>
        <w:rPr>
          <w:color w:val="33333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E1BD7" w:rsidRPr="004E1BD7">
        <w:rPr>
          <w:rStyle w:val="a8"/>
          <w:color w:val="333333"/>
          <w:sz w:val="28"/>
          <w:szCs w:val="28"/>
        </w:rPr>
        <w:t>Распределение нагрузки структурных подразделений Министерства семейной,</w:t>
      </w:r>
      <w:r w:rsidR="004E1BD7">
        <w:rPr>
          <w:rStyle w:val="a8"/>
          <w:color w:val="333333"/>
          <w:sz w:val="28"/>
          <w:szCs w:val="28"/>
        </w:rPr>
        <w:t xml:space="preserve"> </w:t>
      </w:r>
      <w:r w:rsidR="004E1BD7" w:rsidRPr="004E1BD7">
        <w:rPr>
          <w:rStyle w:val="a8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 w:rsidR="004E1BD7">
        <w:rPr>
          <w:rStyle w:val="a8"/>
          <w:color w:val="333333"/>
          <w:sz w:val="28"/>
          <w:szCs w:val="28"/>
        </w:rPr>
        <w:t xml:space="preserve"> </w:t>
      </w:r>
      <w:r w:rsidR="004E1BD7" w:rsidRPr="004E1BD7">
        <w:rPr>
          <w:rStyle w:val="a8"/>
          <w:color w:val="333333"/>
          <w:sz w:val="28"/>
          <w:szCs w:val="28"/>
        </w:rPr>
        <w:t>области  по рассмотрению обращений граждан</w:t>
      </w:r>
    </w:p>
    <w:p w:rsidR="00910DD6" w:rsidRPr="004E1BD7" w:rsidRDefault="004E1BD7" w:rsidP="004E1BD7">
      <w:pPr>
        <w:pStyle w:val="a7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 w:rsidRPr="004E1BD7">
        <w:rPr>
          <w:color w:val="333333"/>
          <w:sz w:val="28"/>
          <w:szCs w:val="28"/>
        </w:rPr>
        <w:t xml:space="preserve">В период с 1 июля  по 30 сентября  2020 года отмечается следующее распределение нагрузки структурных подразделений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7"/>
        <w:gridCol w:w="2403"/>
        <w:gridCol w:w="1359"/>
      </w:tblGrid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методологии и организации социальной поддержки населения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охраны прав несовершеннолетних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семейной  и демографической политики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0C2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благополучия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96" w:rsidRPr="00925F96" w:rsidRDefault="00925F96" w:rsidP="006C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УОГКУСЗН по Ульяновской области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6C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925F96" w:rsidRPr="00925F96" w:rsidTr="00735201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F96" w:rsidRPr="00925F96" w:rsidRDefault="00925F96" w:rsidP="006C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5F96" w:rsidRPr="00925F96" w:rsidRDefault="00925F96" w:rsidP="00925F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5F9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0DD6" w:rsidRPr="00925F9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25F9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25F9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258A"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25F96" w:rsidRDefault="00910DD6" w:rsidP="00925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5201" w:rsidRDefault="006C12E1">
      <w:r>
        <w:rPr>
          <w:noProof/>
          <w:lang w:eastAsia="ru-RU"/>
        </w:rPr>
        <w:drawing>
          <wp:inline distT="0" distB="0" distL="0" distR="0">
            <wp:extent cx="6734175" cy="782002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35201" w:rsidSect="0083418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709"/>
    <w:multiLevelType w:val="multilevel"/>
    <w:tmpl w:val="22D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D3"/>
    <w:rsid w:val="000067DE"/>
    <w:rsid w:val="000A45EF"/>
    <w:rsid w:val="000A55CD"/>
    <w:rsid w:val="000C258A"/>
    <w:rsid w:val="000E393A"/>
    <w:rsid w:val="000F647D"/>
    <w:rsid w:val="00125B59"/>
    <w:rsid w:val="0017249F"/>
    <w:rsid w:val="00192823"/>
    <w:rsid w:val="001D232B"/>
    <w:rsid w:val="001D5118"/>
    <w:rsid w:val="0025347A"/>
    <w:rsid w:val="00314163"/>
    <w:rsid w:val="00343791"/>
    <w:rsid w:val="00351626"/>
    <w:rsid w:val="00374AE0"/>
    <w:rsid w:val="003779FF"/>
    <w:rsid w:val="0044707A"/>
    <w:rsid w:val="00466725"/>
    <w:rsid w:val="004B6B49"/>
    <w:rsid w:val="004C17F1"/>
    <w:rsid w:val="004E1BD7"/>
    <w:rsid w:val="004F30D7"/>
    <w:rsid w:val="00510EE6"/>
    <w:rsid w:val="005467AE"/>
    <w:rsid w:val="00556B0A"/>
    <w:rsid w:val="00560A03"/>
    <w:rsid w:val="0056398C"/>
    <w:rsid w:val="005770D7"/>
    <w:rsid w:val="005B0382"/>
    <w:rsid w:val="005B75D3"/>
    <w:rsid w:val="005C22F2"/>
    <w:rsid w:val="005D4796"/>
    <w:rsid w:val="005F33ED"/>
    <w:rsid w:val="006251E0"/>
    <w:rsid w:val="006359AF"/>
    <w:rsid w:val="006423C3"/>
    <w:rsid w:val="00666E7E"/>
    <w:rsid w:val="006C12E1"/>
    <w:rsid w:val="007073DD"/>
    <w:rsid w:val="00735201"/>
    <w:rsid w:val="00750644"/>
    <w:rsid w:val="00782D2C"/>
    <w:rsid w:val="007B1856"/>
    <w:rsid w:val="007B6056"/>
    <w:rsid w:val="0081366B"/>
    <w:rsid w:val="00834189"/>
    <w:rsid w:val="00841445"/>
    <w:rsid w:val="008725AC"/>
    <w:rsid w:val="008C1598"/>
    <w:rsid w:val="008D4FD4"/>
    <w:rsid w:val="008F3E27"/>
    <w:rsid w:val="00910DD6"/>
    <w:rsid w:val="00925F96"/>
    <w:rsid w:val="00946E97"/>
    <w:rsid w:val="0098217F"/>
    <w:rsid w:val="009B4C87"/>
    <w:rsid w:val="009F0696"/>
    <w:rsid w:val="009F08BC"/>
    <w:rsid w:val="00A139C2"/>
    <w:rsid w:val="00A3776A"/>
    <w:rsid w:val="00A5467E"/>
    <w:rsid w:val="00A715FB"/>
    <w:rsid w:val="00AA75ED"/>
    <w:rsid w:val="00AC5202"/>
    <w:rsid w:val="00B002AB"/>
    <w:rsid w:val="00BB4C85"/>
    <w:rsid w:val="00BE1D39"/>
    <w:rsid w:val="00C64EB7"/>
    <w:rsid w:val="00C8342A"/>
    <w:rsid w:val="00C9365C"/>
    <w:rsid w:val="00CA445D"/>
    <w:rsid w:val="00CD4B00"/>
    <w:rsid w:val="00CF4FEC"/>
    <w:rsid w:val="00D42ED0"/>
    <w:rsid w:val="00D4691C"/>
    <w:rsid w:val="00D64CB1"/>
    <w:rsid w:val="00DD09CF"/>
    <w:rsid w:val="00E12CDC"/>
    <w:rsid w:val="00E1324B"/>
    <w:rsid w:val="00E24F9D"/>
    <w:rsid w:val="00E36053"/>
    <w:rsid w:val="00E941EE"/>
    <w:rsid w:val="00EC41F4"/>
    <w:rsid w:val="00ED2D9D"/>
    <w:rsid w:val="00EE7328"/>
    <w:rsid w:val="00F2232E"/>
    <w:rsid w:val="00F2790B"/>
    <w:rsid w:val="00F46CCC"/>
    <w:rsid w:val="00F65EC9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1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поступивших обращений из разных инстанций </a:t>
            </a:r>
            <a:r>
              <a:rPr lang="ru-RU"/>
              <a:t>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1551</c:v>
                </c:pt>
                <c:pt idx="1">
                  <c:v>349</c:v>
                </c:pt>
                <c:pt idx="2">
                  <c:v>738</c:v>
                </c:pt>
                <c:pt idx="3">
                  <c:v>349</c:v>
                </c:pt>
                <c:pt idx="4">
                  <c:v>97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958</c:v>
                </c:pt>
                <c:pt idx="1">
                  <c:v>50</c:v>
                </c:pt>
                <c:pt idx="2">
                  <c:v>569</c:v>
                </c:pt>
                <c:pt idx="3">
                  <c:v>50</c:v>
                </c:pt>
                <c:pt idx="4">
                  <c:v>20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</c:numRef>
          </c:val>
        </c:ser>
        <c:marker val="1"/>
        <c:axId val="73349376"/>
        <c:axId val="73408512"/>
      </c:lineChart>
      <c:catAx>
        <c:axId val="73349376"/>
        <c:scaling>
          <c:orientation val="minMax"/>
        </c:scaling>
        <c:axPos val="b"/>
        <c:tickLblPos val="nextTo"/>
        <c:crossAx val="73408512"/>
        <c:crosses val="autoZero"/>
        <c:auto val="1"/>
        <c:lblAlgn val="ctr"/>
        <c:lblOffset val="100"/>
      </c:catAx>
      <c:valAx>
        <c:axId val="73408512"/>
        <c:scaling>
          <c:orientation val="minMax"/>
        </c:scaling>
        <c:axPos val="l"/>
        <c:majorGridlines/>
        <c:numFmt formatCode="General" sourceLinked="1"/>
        <c:tickLblPos val="nextTo"/>
        <c:crossAx val="73349376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  в процентном соотношении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Lbls>
            <c:showPercent val="1"/>
            <c:showLeaderLines val="1"/>
          </c:dLbls>
          <c:cat>
            <c:strRef>
              <c:f>Лист1!$A$2:$A$12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9"/>
                <c:pt idx="0">
                  <c:v>55</c:v>
                </c:pt>
                <c:pt idx="1">
                  <c:v>27</c:v>
                </c:pt>
                <c:pt idx="2">
                  <c:v>212</c:v>
                </c:pt>
                <c:pt idx="3">
                  <c:v>27</c:v>
                </c:pt>
                <c:pt idx="4">
                  <c:v>1130</c:v>
                </c:pt>
                <c:pt idx="5">
                  <c:v>72</c:v>
                </c:pt>
                <c:pt idx="6">
                  <c:v>3</c:v>
                </c:pt>
                <c:pt idx="7">
                  <c:v>0</c:v>
                </c:pt>
                <c:pt idx="8">
                  <c:v>28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535642897372784E-2"/>
          <c:y val="3.0134286905411992E-2"/>
          <c:w val="0.82882250518124212"/>
          <c:h val="0.49575225915552501"/>
        </c:manualLayout>
      </c:layou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Лист1!$C$2:$C$28</c:f>
            </c:numRef>
          </c: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обращений 2 квартал 2020</c:v>
                </c:pt>
              </c:strCache>
            </c:strRef>
          </c:tx>
          <c:marker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marker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428</c:v>
                </c:pt>
                <c:pt idx="1">
                  <c:v>711</c:v>
                </c:pt>
                <c:pt idx="2">
                  <c:v>5</c:v>
                </c:pt>
                <c:pt idx="3">
                  <c:v>19</c:v>
                </c:pt>
                <c:pt idx="4">
                  <c:v>10</c:v>
                </c:pt>
                <c:pt idx="5">
                  <c:v>57</c:v>
                </c:pt>
                <c:pt idx="6">
                  <c:v>33</c:v>
                </c:pt>
                <c:pt idx="7">
                  <c:v>19</c:v>
                </c:pt>
                <c:pt idx="8">
                  <c:v>15</c:v>
                </c:pt>
                <c:pt idx="9">
                  <c:v>17</c:v>
                </c:pt>
                <c:pt idx="10">
                  <c:v>19</c:v>
                </c:pt>
                <c:pt idx="11">
                  <c:v>13</c:v>
                </c:pt>
                <c:pt idx="12">
                  <c:v>20</c:v>
                </c:pt>
                <c:pt idx="13">
                  <c:v>5</c:v>
                </c:pt>
                <c:pt idx="14">
                  <c:v>15</c:v>
                </c:pt>
                <c:pt idx="15">
                  <c:v>7</c:v>
                </c:pt>
                <c:pt idx="16">
                  <c:v>6</c:v>
                </c:pt>
                <c:pt idx="17">
                  <c:v>14</c:v>
                </c:pt>
                <c:pt idx="18">
                  <c:v>4</c:v>
                </c:pt>
                <c:pt idx="19">
                  <c:v>11</c:v>
                </c:pt>
                <c:pt idx="20">
                  <c:v>2</c:v>
                </c:pt>
                <c:pt idx="21">
                  <c:v>9</c:v>
                </c:pt>
                <c:pt idx="22">
                  <c:v>20</c:v>
                </c:pt>
                <c:pt idx="23">
                  <c:v>7</c:v>
                </c:pt>
                <c:pt idx="24">
                  <c:v>27</c:v>
                </c:pt>
                <c:pt idx="25">
                  <c:v>28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населения на 10 000 населения2</c:v>
                </c:pt>
              </c:strCache>
            </c:strRef>
          </c:tx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Лист1!$E$2:$E$28</c:f>
            </c:numRef>
          </c:val>
          <c:smooth val="1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1 квартал 2020</c:v>
                </c:pt>
              </c:strCache>
            </c:strRef>
          </c:tx>
          <c:marker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marker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40</c:v>
                </c:pt>
                <c:pt idx="6">
                  <c:v>25</c:v>
                </c:pt>
                <c:pt idx="7">
                  <c:v>22</c:v>
                </c:pt>
                <c:pt idx="8">
                  <c:v>26</c:v>
                </c:pt>
                <c:pt idx="9">
                  <c:v>16</c:v>
                </c:pt>
                <c:pt idx="10">
                  <c:v>3</c:v>
                </c:pt>
                <c:pt idx="11">
                  <c:v>11</c:v>
                </c:pt>
                <c:pt idx="12">
                  <c:v>3</c:v>
                </c:pt>
                <c:pt idx="13">
                  <c:v>5</c:v>
                </c:pt>
                <c:pt idx="14">
                  <c:v>15</c:v>
                </c:pt>
                <c:pt idx="15">
                  <c:v>3</c:v>
                </c:pt>
                <c:pt idx="16">
                  <c:v>2</c:v>
                </c:pt>
                <c:pt idx="17">
                  <c:v>8</c:v>
                </c:pt>
                <c:pt idx="18">
                  <c:v>11</c:v>
                </c:pt>
                <c:pt idx="19">
                  <c:v>4</c:v>
                </c:pt>
                <c:pt idx="20">
                  <c:v>4</c:v>
                </c:pt>
                <c:pt idx="21">
                  <c:v>14</c:v>
                </c:pt>
                <c:pt idx="22">
                  <c:v>27</c:v>
                </c:pt>
                <c:pt idx="23">
                  <c:v>4</c:v>
                </c:pt>
                <c:pt idx="24">
                  <c:v>17</c:v>
                </c:pt>
                <c:pt idx="25">
                  <c:v>43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обращений за 3 квартал 2020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Лист1!$F$2:$F$28</c:f>
              <c:numCache>
                <c:formatCode>General</c:formatCode>
                <c:ptCount val="27"/>
                <c:pt idx="0">
                  <c:v>508</c:v>
                </c:pt>
                <c:pt idx="1">
                  <c:v>668</c:v>
                </c:pt>
                <c:pt idx="2">
                  <c:v>0</c:v>
                </c:pt>
                <c:pt idx="3">
                  <c:v>29</c:v>
                </c:pt>
                <c:pt idx="4">
                  <c:v>16</c:v>
                </c:pt>
                <c:pt idx="5">
                  <c:v>58</c:v>
                </c:pt>
                <c:pt idx="6">
                  <c:v>30</c:v>
                </c:pt>
                <c:pt idx="7">
                  <c:v>22</c:v>
                </c:pt>
                <c:pt idx="8">
                  <c:v>7</c:v>
                </c:pt>
                <c:pt idx="9">
                  <c:v>13</c:v>
                </c:pt>
                <c:pt idx="10">
                  <c:v>21</c:v>
                </c:pt>
                <c:pt idx="11">
                  <c:v>8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  <c:pt idx="15">
                  <c:v>3</c:v>
                </c:pt>
                <c:pt idx="16">
                  <c:v>10</c:v>
                </c:pt>
                <c:pt idx="17">
                  <c:v>5</c:v>
                </c:pt>
                <c:pt idx="18">
                  <c:v>4</c:v>
                </c:pt>
                <c:pt idx="19">
                  <c:v>11</c:v>
                </c:pt>
                <c:pt idx="20">
                  <c:v>5</c:v>
                </c:pt>
                <c:pt idx="21">
                  <c:v>10</c:v>
                </c:pt>
                <c:pt idx="22">
                  <c:v>29</c:v>
                </c:pt>
                <c:pt idx="23">
                  <c:v>17</c:v>
                </c:pt>
                <c:pt idx="24">
                  <c:v>22</c:v>
                </c:pt>
                <c:pt idx="25">
                  <c:v>37</c:v>
                </c:pt>
              </c:numCache>
            </c:numRef>
          </c:val>
        </c:ser>
        <c:marker val="1"/>
        <c:axId val="94924800"/>
        <c:axId val="94926336"/>
      </c:lineChart>
      <c:catAx>
        <c:axId val="94924800"/>
        <c:scaling>
          <c:orientation val="minMax"/>
        </c:scaling>
        <c:axPos val="b"/>
        <c:tickLblPos val="low"/>
        <c:crossAx val="94926336"/>
        <c:crosses val="autoZero"/>
        <c:auto val="1"/>
        <c:lblAlgn val="ctr"/>
        <c:lblOffset val="100"/>
      </c:catAx>
      <c:valAx>
        <c:axId val="94926336"/>
        <c:scaling>
          <c:orientation val="minMax"/>
        </c:scaling>
        <c:axPos val="l"/>
        <c:majorGridlines/>
        <c:numFmt formatCode="General" sourceLinked="1"/>
        <c:tickLblPos val="nextTo"/>
        <c:crossAx val="94924800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360729312762976"/>
          <c:y val="0.80252745362432254"/>
          <c:w val="0.32278634876110335"/>
          <c:h val="0.17955849268841398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9104734576757543"/>
          <c:y val="3.6253684849903316E-2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showVal val="1"/>
            <c:showLeaderLines val="1"/>
          </c:dLbls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город 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Сурский р-н</c:v>
                </c:pt>
                <c:pt idx="20">
                  <c:v>Старомайнский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Цильниский р-н</c:v>
                </c:pt>
                <c:pt idx="24">
                  <c:v>Чердаклинский р-н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508</c:v>
                </c:pt>
                <c:pt idx="1">
                  <c:v>668</c:v>
                </c:pt>
                <c:pt idx="2">
                  <c:v>0</c:v>
                </c:pt>
                <c:pt idx="3">
                  <c:v>29</c:v>
                </c:pt>
                <c:pt idx="4">
                  <c:v>16</c:v>
                </c:pt>
                <c:pt idx="5">
                  <c:v>58</c:v>
                </c:pt>
                <c:pt idx="6">
                  <c:v>30</c:v>
                </c:pt>
                <c:pt idx="7">
                  <c:v>22</c:v>
                </c:pt>
                <c:pt idx="8">
                  <c:v>7</c:v>
                </c:pt>
                <c:pt idx="9">
                  <c:v>13</c:v>
                </c:pt>
                <c:pt idx="10">
                  <c:v>21</c:v>
                </c:pt>
                <c:pt idx="11">
                  <c:v>8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  <c:pt idx="15">
                  <c:v>3</c:v>
                </c:pt>
                <c:pt idx="16">
                  <c:v>10</c:v>
                </c:pt>
                <c:pt idx="17">
                  <c:v>5</c:v>
                </c:pt>
                <c:pt idx="18">
                  <c:v>4</c:v>
                </c:pt>
                <c:pt idx="19">
                  <c:v>5</c:v>
                </c:pt>
                <c:pt idx="20">
                  <c:v>11</c:v>
                </c:pt>
                <c:pt idx="21">
                  <c:v>9</c:v>
                </c:pt>
                <c:pt idx="22">
                  <c:v>20</c:v>
                </c:pt>
                <c:pt idx="23">
                  <c:v>10</c:v>
                </c:pt>
                <c:pt idx="24">
                  <c:v>22</c:v>
                </c:pt>
                <c:pt idx="25">
                  <c:v>37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771020910764919"/>
          <c:y val="0.14864001872377416"/>
          <c:w val="0.33486279781741812"/>
          <c:h val="0.8513599387033145"/>
        </c:manualLayout>
      </c:layout>
    </c:legend>
    <c:plotVisOnly val="1"/>
    <c:dispBlanksAs val="zero"/>
  </c:chart>
  <c:spPr>
    <a:ln>
      <a:noFill/>
    </a:ln>
  </c:sp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4089845435987175"/>
          <c:y val="2.7058437548247646E-2"/>
        </c:manualLayout>
      </c:layout>
    </c:title>
    <c:plotArea>
      <c:layout>
        <c:manualLayout>
          <c:layoutTarget val="inner"/>
          <c:xMode val="edge"/>
          <c:yMode val="edge"/>
          <c:x val="9.7076658521133147E-2"/>
          <c:y val="0.27282808398950154"/>
          <c:w val="0.89412676863667906"/>
          <c:h val="0.43556044465030108"/>
        </c:manualLayout>
      </c:layout>
      <c:lineChart>
        <c:grouping val="stacked"/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р-н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248</c:v>
                </c:pt>
                <c:pt idx="1">
                  <c:v>326</c:v>
                </c:pt>
                <c:pt idx="2">
                  <c:v>5</c:v>
                </c:pt>
                <c:pt idx="3">
                  <c:v>14</c:v>
                </c:pt>
                <c:pt idx="4">
                  <c:v>16</c:v>
                </c:pt>
                <c:pt idx="5">
                  <c:v>55</c:v>
                </c:pt>
                <c:pt idx="6">
                  <c:v>27</c:v>
                </c:pt>
                <c:pt idx="7">
                  <c:v>28</c:v>
                </c:pt>
                <c:pt idx="8">
                  <c:v>9</c:v>
                </c:pt>
                <c:pt idx="9">
                  <c:v>13</c:v>
                </c:pt>
                <c:pt idx="10">
                  <c:v>13</c:v>
                </c:pt>
                <c:pt idx="11">
                  <c:v>9</c:v>
                </c:pt>
                <c:pt idx="12">
                  <c:v>10</c:v>
                </c:pt>
                <c:pt idx="13">
                  <c:v>9</c:v>
                </c:pt>
                <c:pt idx="14">
                  <c:v>18</c:v>
                </c:pt>
                <c:pt idx="15">
                  <c:v>3</c:v>
                </c:pt>
                <c:pt idx="16">
                  <c:v>2</c:v>
                </c:pt>
                <c:pt idx="17">
                  <c:v>8</c:v>
                </c:pt>
                <c:pt idx="18">
                  <c:v>16</c:v>
                </c:pt>
                <c:pt idx="19">
                  <c:v>4</c:v>
                </c:pt>
                <c:pt idx="20">
                  <c:v>7</c:v>
                </c:pt>
                <c:pt idx="21">
                  <c:v>11</c:v>
                </c:pt>
                <c:pt idx="22">
                  <c:v>18</c:v>
                </c:pt>
                <c:pt idx="23">
                  <c:v>12</c:v>
                </c:pt>
                <c:pt idx="24">
                  <c:v>47</c:v>
                </c:pt>
                <c:pt idx="25">
                  <c:v>30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р-н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508</c:v>
                </c:pt>
                <c:pt idx="1">
                  <c:v>668</c:v>
                </c:pt>
                <c:pt idx="2">
                  <c:v>0</c:v>
                </c:pt>
                <c:pt idx="3">
                  <c:v>29</c:v>
                </c:pt>
                <c:pt idx="4">
                  <c:v>16</c:v>
                </c:pt>
                <c:pt idx="5">
                  <c:v>58</c:v>
                </c:pt>
                <c:pt idx="6">
                  <c:v>30</c:v>
                </c:pt>
                <c:pt idx="7">
                  <c:v>22</c:v>
                </c:pt>
                <c:pt idx="8">
                  <c:v>7</c:v>
                </c:pt>
                <c:pt idx="9">
                  <c:v>13</c:v>
                </c:pt>
                <c:pt idx="10">
                  <c:v>21</c:v>
                </c:pt>
                <c:pt idx="11">
                  <c:v>8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  <c:pt idx="15">
                  <c:v>3</c:v>
                </c:pt>
                <c:pt idx="16">
                  <c:v>10</c:v>
                </c:pt>
                <c:pt idx="17">
                  <c:v>5</c:v>
                </c:pt>
                <c:pt idx="18">
                  <c:v>4</c:v>
                </c:pt>
                <c:pt idx="19">
                  <c:v>11</c:v>
                </c:pt>
                <c:pt idx="20">
                  <c:v>5</c:v>
                </c:pt>
                <c:pt idx="21">
                  <c:v>10</c:v>
                </c:pt>
                <c:pt idx="22">
                  <c:v>29</c:v>
                </c:pt>
                <c:pt idx="23">
                  <c:v>17</c:v>
                </c:pt>
                <c:pt idx="24">
                  <c:v>22</c:v>
                </c:pt>
                <c:pt idx="25">
                  <c:v>37</c:v>
                </c:pt>
              </c:numCache>
            </c:numRef>
          </c:val>
        </c:ser>
        <c:marker val="1"/>
        <c:axId val="95031296"/>
        <c:axId val="95032832"/>
      </c:lineChart>
      <c:catAx>
        <c:axId val="9503129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95032832"/>
        <c:crosses val="autoZero"/>
        <c:auto val="1"/>
        <c:lblAlgn val="ctr"/>
        <c:lblOffset val="100"/>
      </c:catAx>
      <c:valAx>
        <c:axId val="950328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5031296"/>
        <c:crosses val="autoZero"/>
        <c:crossBetween val="between"/>
      </c:valAx>
      <c:spPr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68968986876640415"/>
          <c:y val="0.12322662627002499"/>
          <c:w val="0.31031010012637322"/>
          <c:h val="0.14051875868457619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нагрузки по подразделениям в процентном соотношение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6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Lbls>
            <c:dLblPos val="inEnd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департамен методологии и организации социальной поддержки населения</c:v>
                </c:pt>
                <c:pt idx="1">
                  <c:v>департамент охраны прав несовершеннолетних</c:v>
                </c:pt>
                <c:pt idx="2">
                  <c:v>департамент  семейной и демографической политики</c:v>
                </c:pt>
                <c:pt idx="3">
                  <c:v>департамент административного обеспечения</c:v>
                </c:pt>
                <c:pt idx="4">
                  <c:v>департамент повышения качества жизни населения</c:v>
                </c:pt>
                <c:pt idx="5">
                  <c:v>департамент финансов</c:v>
                </c:pt>
                <c:pt idx="6">
                  <c:v>департамент Министерства семейной.демографической политики и социального благополучия в городе Ульяновске </c:v>
                </c:pt>
                <c:pt idx="7">
                  <c:v>УОКУСЗН "ЕОЦСВ"</c:v>
                </c:pt>
                <c:pt idx="8">
                  <c:v>УОГКУСЗН по Ульяновской области</c:v>
                </c:pt>
                <c:pt idx="9">
                  <c:v>отдел информационно-аналитической работы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296</c:v>
                </c:pt>
                <c:pt idx="1">
                  <c:v>58</c:v>
                </c:pt>
                <c:pt idx="2">
                  <c:v>84</c:v>
                </c:pt>
                <c:pt idx="3">
                  <c:v>117</c:v>
                </c:pt>
                <c:pt idx="4">
                  <c:v>127</c:v>
                </c:pt>
                <c:pt idx="5">
                  <c:v>21</c:v>
                </c:pt>
                <c:pt idx="6">
                  <c:v>42</c:v>
                </c:pt>
                <c:pt idx="7">
                  <c:v>15</c:v>
                </c:pt>
                <c:pt idx="8">
                  <c:v>773</c:v>
                </c:pt>
                <c:pt idx="9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департамен методологии и организации социальной поддержки населения</c:v>
                </c:pt>
                <c:pt idx="1">
                  <c:v>департамент охраны прав несовершеннолетних</c:v>
                </c:pt>
                <c:pt idx="2">
                  <c:v>департамент  семейной и демографической политики</c:v>
                </c:pt>
                <c:pt idx="3">
                  <c:v>департамент административного обеспечения</c:v>
                </c:pt>
                <c:pt idx="4">
                  <c:v>департамент повышения качества жизни населения</c:v>
                </c:pt>
                <c:pt idx="5">
                  <c:v>департамент финансов</c:v>
                </c:pt>
                <c:pt idx="6">
                  <c:v>департамент Министерства семейной.демографической политики и социального благополучия в городе Ульяновске </c:v>
                </c:pt>
                <c:pt idx="7">
                  <c:v>УОКУСЗН "ЕОЦСВ"</c:v>
                </c:pt>
                <c:pt idx="8">
                  <c:v>УОГКУСЗН по Ульяновской области</c:v>
                </c:pt>
                <c:pt idx="9">
                  <c:v>отдел информационно-аналитической работы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50</c:v>
                </c:pt>
                <c:pt idx="9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6.3020799498213501E-2"/>
          <c:y val="8.1178879385990568E-2"/>
          <c:w val="0.81854792903362328"/>
          <c:h val="0.4856845086812383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C4CE-88A4-472A-8106-D36D1990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23</cp:revision>
  <cp:lastPrinted>2020-08-06T07:12:00Z</cp:lastPrinted>
  <dcterms:created xsi:type="dcterms:W3CDTF">2020-04-20T11:31:00Z</dcterms:created>
  <dcterms:modified xsi:type="dcterms:W3CDTF">2020-10-23T11:54:00Z</dcterms:modified>
</cp:coreProperties>
</file>