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70" w:rsidRDefault="00050C70" w:rsidP="008D4FD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707A" w:rsidRDefault="0044707A" w:rsidP="008D4FD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>АНАЛИЗ</w:t>
      </w:r>
    </w:p>
    <w:p w:rsidR="0044707A" w:rsidRDefault="0044707A" w:rsidP="008D4F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обращений граждан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>и  организаций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707A" w:rsidRPr="00A03FA1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3F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03FA1">
        <w:rPr>
          <w:rFonts w:ascii="Times New Roman" w:hAnsi="Times New Roman" w:cs="Times New Roman"/>
          <w:sz w:val="32"/>
          <w:szCs w:val="32"/>
        </w:rPr>
        <w:t>поступивших</w:t>
      </w:r>
      <w:proofErr w:type="gramEnd"/>
      <w:r w:rsidRPr="00A03F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Министерство семейной, демографической политики и социального благополучия Ульяновской области</w:t>
      </w:r>
    </w:p>
    <w:p w:rsidR="0044707A" w:rsidRPr="00191D45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70EDB">
        <w:rPr>
          <w:rFonts w:ascii="Times New Roman" w:hAnsi="Times New Roman" w:cs="Times New Roman"/>
          <w:b/>
          <w:sz w:val="28"/>
          <w:szCs w:val="28"/>
        </w:rPr>
        <w:t>а</w:t>
      </w:r>
      <w:r w:rsidR="008A1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22">
        <w:rPr>
          <w:rFonts w:ascii="Times New Roman" w:hAnsi="Times New Roman" w:cs="Times New Roman"/>
          <w:b/>
          <w:sz w:val="28"/>
          <w:szCs w:val="28"/>
        </w:rPr>
        <w:t>3</w:t>
      </w:r>
      <w:r w:rsidR="008A109D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4F9" w:rsidRDefault="0044707A" w:rsidP="004470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567">
        <w:rPr>
          <w:rFonts w:ascii="Times New Roman" w:hAnsi="Times New Roman" w:cs="Times New Roman"/>
          <w:b/>
          <w:sz w:val="28"/>
          <w:szCs w:val="28"/>
        </w:rPr>
        <w:t>ВСЕГО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2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EF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09D">
        <w:rPr>
          <w:rFonts w:ascii="Times New Roman" w:hAnsi="Times New Roman" w:cs="Times New Roman"/>
          <w:b/>
          <w:sz w:val="28"/>
          <w:szCs w:val="28"/>
        </w:rPr>
        <w:t>квартал  2021</w:t>
      </w:r>
      <w:r w:rsidRPr="00EF056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F0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567">
        <w:rPr>
          <w:rFonts w:ascii="Times New Roman" w:hAnsi="Times New Roman" w:cs="Times New Roman"/>
          <w:sz w:val="28"/>
          <w:szCs w:val="28"/>
        </w:rPr>
        <w:t xml:space="preserve">от </w:t>
      </w:r>
      <w:r w:rsidR="009C24F9">
        <w:rPr>
          <w:rFonts w:ascii="Times New Roman" w:hAnsi="Times New Roman" w:cs="Times New Roman"/>
          <w:sz w:val="28"/>
          <w:szCs w:val="28"/>
        </w:rPr>
        <w:t xml:space="preserve"> </w:t>
      </w:r>
      <w:r w:rsidRPr="00EF0567">
        <w:rPr>
          <w:rFonts w:ascii="Times New Roman" w:hAnsi="Times New Roman" w:cs="Times New Roman"/>
          <w:sz w:val="28"/>
          <w:szCs w:val="28"/>
        </w:rPr>
        <w:t xml:space="preserve">граждан и организаций в Министерство поступило </w:t>
      </w:r>
      <w:r w:rsidR="00435122">
        <w:rPr>
          <w:rFonts w:ascii="Times New Roman" w:hAnsi="Times New Roman" w:cs="Times New Roman"/>
          <w:b/>
          <w:sz w:val="28"/>
          <w:szCs w:val="28"/>
        </w:rPr>
        <w:t>1385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3CD">
        <w:rPr>
          <w:rFonts w:ascii="Times New Roman" w:hAnsi="Times New Roman" w:cs="Times New Roman"/>
          <w:sz w:val="28"/>
          <w:szCs w:val="28"/>
        </w:rPr>
        <w:t>обращени</w:t>
      </w:r>
      <w:r w:rsidR="009C24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что на  </w:t>
      </w:r>
      <w:r w:rsidR="00891AD1">
        <w:rPr>
          <w:rFonts w:ascii="Times New Roman" w:hAnsi="Times New Roman" w:cs="Times New Roman"/>
          <w:b/>
          <w:sz w:val="28"/>
          <w:szCs w:val="28"/>
        </w:rPr>
        <w:t>166</w:t>
      </w:r>
      <w:r w:rsidR="00435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4F9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891AD1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6843CD">
        <w:rPr>
          <w:rFonts w:ascii="Times New Roman" w:hAnsi="Times New Roman" w:cs="Times New Roman"/>
          <w:sz w:val="28"/>
          <w:szCs w:val="28"/>
        </w:rPr>
        <w:t xml:space="preserve">ем </w:t>
      </w:r>
      <w:r w:rsidR="009C24F9">
        <w:rPr>
          <w:rFonts w:ascii="Times New Roman" w:hAnsi="Times New Roman" w:cs="Times New Roman"/>
          <w:sz w:val="28"/>
          <w:szCs w:val="28"/>
        </w:rPr>
        <w:t xml:space="preserve"> </w:t>
      </w:r>
      <w:r w:rsidR="006843CD">
        <w:rPr>
          <w:rFonts w:ascii="Times New Roman" w:hAnsi="Times New Roman" w:cs="Times New Roman"/>
          <w:sz w:val="28"/>
          <w:szCs w:val="28"/>
        </w:rPr>
        <w:t xml:space="preserve">в </w:t>
      </w:r>
      <w:r w:rsidR="008A109D">
        <w:rPr>
          <w:rFonts w:ascii="Times New Roman" w:hAnsi="Times New Roman" w:cs="Times New Roman"/>
          <w:sz w:val="28"/>
          <w:szCs w:val="28"/>
        </w:rPr>
        <w:t xml:space="preserve"> </w:t>
      </w:r>
      <w:r w:rsidR="00891AD1">
        <w:rPr>
          <w:rFonts w:ascii="Times New Roman" w:hAnsi="Times New Roman" w:cs="Times New Roman"/>
          <w:sz w:val="28"/>
          <w:szCs w:val="28"/>
        </w:rPr>
        <w:t>3</w:t>
      </w:r>
      <w:r w:rsidR="004906C5">
        <w:rPr>
          <w:rFonts w:ascii="Times New Roman" w:hAnsi="Times New Roman" w:cs="Times New Roman"/>
          <w:sz w:val="28"/>
          <w:szCs w:val="28"/>
        </w:rPr>
        <w:t xml:space="preserve"> </w:t>
      </w:r>
      <w:r w:rsidR="008A109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6843CD">
        <w:rPr>
          <w:rFonts w:ascii="Times New Roman" w:hAnsi="Times New Roman" w:cs="Times New Roman"/>
          <w:sz w:val="28"/>
          <w:szCs w:val="28"/>
        </w:rPr>
        <w:t>е</w:t>
      </w:r>
      <w:r w:rsidR="008A10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707A" w:rsidRDefault="008A109D" w:rsidP="009C24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351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84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91AD1">
        <w:rPr>
          <w:rFonts w:ascii="Times New Roman" w:hAnsi="Times New Roman" w:cs="Times New Roman"/>
          <w:sz w:val="28"/>
          <w:szCs w:val="28"/>
        </w:rPr>
        <w:t>1551обращений</w:t>
      </w:r>
      <w:r w:rsidR="006843CD">
        <w:rPr>
          <w:rFonts w:ascii="Times New Roman" w:hAnsi="Times New Roman" w:cs="Times New Roman"/>
          <w:sz w:val="28"/>
          <w:szCs w:val="28"/>
        </w:rPr>
        <w:t>).</w:t>
      </w:r>
    </w:p>
    <w:p w:rsidR="0044707A" w:rsidRDefault="0044707A" w:rsidP="004470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69" w:type="dxa"/>
        <w:tblInd w:w="720" w:type="dxa"/>
        <w:tblLook w:val="04A0" w:firstRow="1" w:lastRow="0" w:firstColumn="1" w:lastColumn="0" w:noHBand="0" w:noVBand="1"/>
      </w:tblPr>
      <w:tblGrid>
        <w:gridCol w:w="806"/>
        <w:gridCol w:w="3636"/>
        <w:gridCol w:w="1325"/>
        <w:gridCol w:w="1701"/>
        <w:gridCol w:w="1701"/>
      </w:tblGrid>
      <w:tr w:rsidR="008A109D" w:rsidTr="00050C70">
        <w:tc>
          <w:tcPr>
            <w:tcW w:w="806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6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источника поступления</w:t>
            </w:r>
          </w:p>
        </w:tc>
        <w:tc>
          <w:tcPr>
            <w:tcW w:w="1325" w:type="dxa"/>
          </w:tcPr>
          <w:p w:rsidR="008A109D" w:rsidRPr="009C24F9" w:rsidRDefault="00891AD1" w:rsidP="008D49D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A109D" w:rsidRPr="009C2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2021года</w:t>
            </w:r>
          </w:p>
        </w:tc>
        <w:tc>
          <w:tcPr>
            <w:tcW w:w="1701" w:type="dxa"/>
          </w:tcPr>
          <w:p w:rsidR="008A109D" w:rsidRDefault="00891AD1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10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 года</w:t>
            </w:r>
          </w:p>
        </w:tc>
        <w:tc>
          <w:tcPr>
            <w:tcW w:w="1701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Отклонения</w:t>
            </w:r>
          </w:p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(+,-)</w:t>
            </w:r>
          </w:p>
        </w:tc>
      </w:tr>
      <w:tr w:rsidR="008A109D" w:rsidTr="00050C70">
        <w:tc>
          <w:tcPr>
            <w:tcW w:w="806" w:type="dxa"/>
          </w:tcPr>
          <w:p w:rsidR="008A109D" w:rsidRDefault="008A109D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Правительства Ульяновской области</w:t>
            </w:r>
          </w:p>
        </w:tc>
        <w:tc>
          <w:tcPr>
            <w:tcW w:w="1325" w:type="dxa"/>
          </w:tcPr>
          <w:p w:rsidR="008A109D" w:rsidRPr="009C24F9" w:rsidRDefault="00BF66E5" w:rsidP="008D49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630</w:t>
            </w:r>
          </w:p>
        </w:tc>
        <w:tc>
          <w:tcPr>
            <w:tcW w:w="1701" w:type="dxa"/>
          </w:tcPr>
          <w:p w:rsidR="008A109D" w:rsidRPr="000F7F4B" w:rsidRDefault="00891AD1" w:rsidP="008D4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813</w:t>
            </w:r>
          </w:p>
        </w:tc>
        <w:tc>
          <w:tcPr>
            <w:tcW w:w="1701" w:type="dxa"/>
          </w:tcPr>
          <w:p w:rsidR="008A109D" w:rsidRPr="000F7F4B" w:rsidRDefault="00B87DC2" w:rsidP="000F7F4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-183</w:t>
            </w:r>
          </w:p>
        </w:tc>
      </w:tr>
      <w:tr w:rsidR="008A109D" w:rsidTr="00050C70">
        <w:tc>
          <w:tcPr>
            <w:tcW w:w="806" w:type="dxa"/>
          </w:tcPr>
          <w:p w:rsidR="008A109D" w:rsidRDefault="008A109D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имя  ИОГВ</w:t>
            </w:r>
          </w:p>
        </w:tc>
        <w:tc>
          <w:tcPr>
            <w:tcW w:w="1325" w:type="dxa"/>
          </w:tcPr>
          <w:p w:rsidR="008A109D" w:rsidRPr="009C24F9" w:rsidRDefault="00B87DC2" w:rsidP="008D49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755</w:t>
            </w:r>
          </w:p>
        </w:tc>
        <w:tc>
          <w:tcPr>
            <w:tcW w:w="1701" w:type="dxa"/>
          </w:tcPr>
          <w:p w:rsidR="008A109D" w:rsidRPr="000F7F4B" w:rsidRDefault="00BF66E5" w:rsidP="008D4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738</w:t>
            </w:r>
          </w:p>
        </w:tc>
        <w:tc>
          <w:tcPr>
            <w:tcW w:w="1701" w:type="dxa"/>
          </w:tcPr>
          <w:p w:rsidR="008A109D" w:rsidRDefault="00B87DC2" w:rsidP="00891A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+17</w:t>
            </w:r>
          </w:p>
          <w:p w:rsidR="00050C70" w:rsidRPr="000F7F4B" w:rsidRDefault="00050C70" w:rsidP="00891AD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A109D" w:rsidTr="00050C70">
        <w:tc>
          <w:tcPr>
            <w:tcW w:w="806" w:type="dxa"/>
          </w:tcPr>
          <w:p w:rsidR="008A109D" w:rsidRDefault="008A109D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8A109D" w:rsidRPr="007B31D8" w:rsidRDefault="008A109D" w:rsidP="008D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из  вышестоящих  инстанций с указанием основной  тематики </w:t>
            </w:r>
          </w:p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количества </w:t>
            </w:r>
            <w:proofErr w:type="gramStart"/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переадресованных</w:t>
            </w:r>
            <w:proofErr w:type="gramEnd"/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из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ительства  Ульяновской области)</w:t>
            </w:r>
          </w:p>
        </w:tc>
        <w:tc>
          <w:tcPr>
            <w:tcW w:w="1325" w:type="dxa"/>
          </w:tcPr>
          <w:p w:rsidR="008A109D" w:rsidRPr="009C24F9" w:rsidRDefault="00B87DC2" w:rsidP="008D49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238</w:t>
            </w:r>
          </w:p>
        </w:tc>
        <w:tc>
          <w:tcPr>
            <w:tcW w:w="1701" w:type="dxa"/>
          </w:tcPr>
          <w:p w:rsidR="008A109D" w:rsidRPr="000F7F4B" w:rsidRDefault="00BF66E5" w:rsidP="008D4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349</w:t>
            </w:r>
          </w:p>
        </w:tc>
        <w:tc>
          <w:tcPr>
            <w:tcW w:w="1701" w:type="dxa"/>
          </w:tcPr>
          <w:p w:rsidR="008A109D" w:rsidRPr="000F7F4B" w:rsidRDefault="00B87DC2" w:rsidP="000F7F4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-111</w:t>
            </w:r>
          </w:p>
        </w:tc>
      </w:tr>
      <w:tr w:rsidR="008A109D" w:rsidTr="00050C70">
        <w:tc>
          <w:tcPr>
            <w:tcW w:w="806" w:type="dxa"/>
          </w:tcPr>
          <w:p w:rsidR="008A109D" w:rsidRDefault="008A109D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повторных обращений с указанием основной тематики</w:t>
            </w:r>
          </w:p>
        </w:tc>
        <w:tc>
          <w:tcPr>
            <w:tcW w:w="1325" w:type="dxa"/>
          </w:tcPr>
          <w:p w:rsidR="008A109D" w:rsidRPr="009C24F9" w:rsidRDefault="00B87DC2" w:rsidP="008D49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A109D" w:rsidRPr="000F7F4B" w:rsidRDefault="00BF66E5" w:rsidP="008D4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:rsidR="008A109D" w:rsidRPr="000F7F4B" w:rsidRDefault="00B87DC2" w:rsidP="000F7F4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-85</w:t>
            </w:r>
          </w:p>
        </w:tc>
      </w:tr>
      <w:tr w:rsidR="008A109D" w:rsidTr="00050C70">
        <w:tc>
          <w:tcPr>
            <w:tcW w:w="806" w:type="dxa"/>
          </w:tcPr>
          <w:p w:rsidR="008A109D" w:rsidRDefault="008A109D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 обращений с указанием основной тематики</w:t>
            </w:r>
          </w:p>
        </w:tc>
        <w:tc>
          <w:tcPr>
            <w:tcW w:w="1325" w:type="dxa"/>
          </w:tcPr>
          <w:p w:rsidR="008A109D" w:rsidRPr="009C24F9" w:rsidRDefault="00B87DC2" w:rsidP="008D49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109D" w:rsidRPr="000F7F4B" w:rsidRDefault="00BF66E5" w:rsidP="008D4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8A109D" w:rsidRPr="000F7F4B" w:rsidRDefault="00B87DC2" w:rsidP="008D49D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-13</w:t>
            </w:r>
          </w:p>
        </w:tc>
      </w:tr>
      <w:tr w:rsidR="008A109D" w:rsidTr="00050C70">
        <w:tc>
          <w:tcPr>
            <w:tcW w:w="806" w:type="dxa"/>
          </w:tcPr>
          <w:p w:rsidR="008A109D" w:rsidRDefault="008A109D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8A109D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общее количество личных приемов руководителя ИОГВ</w:t>
            </w:r>
          </w:p>
        </w:tc>
        <w:tc>
          <w:tcPr>
            <w:tcW w:w="1325" w:type="dxa"/>
          </w:tcPr>
          <w:p w:rsidR="008A109D" w:rsidRPr="009C24F9" w:rsidRDefault="00B87DC2" w:rsidP="008D49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A109D" w:rsidRPr="000F7F4B" w:rsidRDefault="00BF66E5" w:rsidP="00EA5D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8A109D" w:rsidRPr="000F7F4B" w:rsidRDefault="00B87DC2" w:rsidP="000F7F4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-12</w:t>
            </w:r>
          </w:p>
        </w:tc>
      </w:tr>
      <w:tr w:rsidR="008A109D" w:rsidTr="00050C70">
        <w:tc>
          <w:tcPr>
            <w:tcW w:w="806" w:type="dxa"/>
          </w:tcPr>
          <w:p w:rsidR="008A109D" w:rsidRDefault="008A109D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8A109D" w:rsidRPr="007B31D8" w:rsidRDefault="008A109D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25" w:type="dxa"/>
          </w:tcPr>
          <w:p w:rsidR="008A109D" w:rsidRPr="009C24F9" w:rsidRDefault="00B87DC2" w:rsidP="008D49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1385</w:t>
            </w:r>
          </w:p>
        </w:tc>
        <w:tc>
          <w:tcPr>
            <w:tcW w:w="1701" w:type="dxa"/>
          </w:tcPr>
          <w:p w:rsidR="009C24F9" w:rsidRPr="007B31D8" w:rsidRDefault="00BF66E5" w:rsidP="00891A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</w:t>
            </w:r>
          </w:p>
        </w:tc>
        <w:tc>
          <w:tcPr>
            <w:tcW w:w="1701" w:type="dxa"/>
          </w:tcPr>
          <w:p w:rsidR="008A109D" w:rsidRPr="004C1E1A" w:rsidRDefault="00B87DC2" w:rsidP="000F7F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E1A">
              <w:rPr>
                <w:rFonts w:ascii="Times New Roman" w:hAnsi="Times New Roman" w:cs="Times New Roman"/>
                <w:sz w:val="28"/>
                <w:szCs w:val="28"/>
              </w:rPr>
              <w:t>-166</w:t>
            </w:r>
          </w:p>
          <w:p w:rsidR="000F5663" w:rsidRPr="00EA5DD3" w:rsidRDefault="000F5663" w:rsidP="000F7F4B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4707A" w:rsidRPr="00EF0567" w:rsidRDefault="0044707A" w:rsidP="004470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07A" w:rsidRDefault="0044707A" w:rsidP="004470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Default="0044707A" w:rsidP="004470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Pr="00EF0567" w:rsidRDefault="0044707A" w:rsidP="00447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6562725" cy="3800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Pr="00B53A54" w:rsidRDefault="0044707A" w:rsidP="00447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A54">
        <w:rPr>
          <w:rFonts w:ascii="Times New Roman" w:hAnsi="Times New Roman" w:cs="Times New Roman"/>
          <w:b/>
          <w:sz w:val="28"/>
          <w:szCs w:val="28"/>
        </w:rPr>
        <w:t>Повышенная активность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A54">
        <w:rPr>
          <w:rFonts w:ascii="Times New Roman" w:hAnsi="Times New Roman" w:cs="Times New Roman"/>
          <w:b/>
          <w:sz w:val="28"/>
          <w:szCs w:val="28"/>
        </w:rPr>
        <w:t>граждан по следующим вопросам социального блока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86"/>
        <w:gridCol w:w="3314"/>
        <w:gridCol w:w="1996"/>
        <w:gridCol w:w="2051"/>
        <w:gridCol w:w="2308"/>
      </w:tblGrid>
      <w:tr w:rsidR="00A118F8" w:rsidTr="00B07466">
        <w:tc>
          <w:tcPr>
            <w:tcW w:w="565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045" w:type="dxa"/>
          </w:tcPr>
          <w:p w:rsidR="00A118F8" w:rsidRDefault="00B07466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A118F8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2021г.</w:t>
            </w:r>
          </w:p>
        </w:tc>
        <w:tc>
          <w:tcPr>
            <w:tcW w:w="2104" w:type="dxa"/>
          </w:tcPr>
          <w:p w:rsidR="00A118F8" w:rsidRDefault="00B07466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51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18F8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2020г.</w:t>
            </w:r>
          </w:p>
        </w:tc>
        <w:tc>
          <w:tcPr>
            <w:tcW w:w="23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(+,-)</w:t>
            </w:r>
          </w:p>
        </w:tc>
      </w:tr>
      <w:tr w:rsidR="00D51C45" w:rsidTr="00B07466">
        <w:tc>
          <w:tcPr>
            <w:tcW w:w="565" w:type="dxa"/>
          </w:tcPr>
          <w:p w:rsidR="00D51C45" w:rsidRPr="00106102" w:rsidRDefault="00D51C4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</w:t>
            </w:r>
          </w:p>
        </w:tc>
        <w:tc>
          <w:tcPr>
            <w:tcW w:w="3396" w:type="dxa"/>
          </w:tcPr>
          <w:p w:rsidR="00D51C45" w:rsidRDefault="00D51C4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льготы</w:t>
            </w:r>
          </w:p>
        </w:tc>
        <w:tc>
          <w:tcPr>
            <w:tcW w:w="2045" w:type="dxa"/>
          </w:tcPr>
          <w:p w:rsidR="00D51C45" w:rsidRDefault="00762A4E" w:rsidP="0093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823</w:t>
            </w:r>
          </w:p>
          <w:p w:rsidR="00762A4E" w:rsidRPr="007A452C" w:rsidRDefault="00762A4E" w:rsidP="0093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(62%)</w:t>
            </w:r>
          </w:p>
        </w:tc>
        <w:tc>
          <w:tcPr>
            <w:tcW w:w="2104" w:type="dxa"/>
          </w:tcPr>
          <w:p w:rsidR="00D51C45" w:rsidRPr="001D5118" w:rsidRDefault="00B07466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1130</w:t>
            </w:r>
          </w:p>
          <w:p w:rsidR="00D51C45" w:rsidRPr="001D5118" w:rsidRDefault="00D51C45" w:rsidP="00B074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B074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73</w:t>
            </w: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2345" w:type="dxa"/>
          </w:tcPr>
          <w:p w:rsidR="00D51C45" w:rsidRDefault="00EC109F" w:rsidP="0055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-307</w:t>
            </w:r>
          </w:p>
        </w:tc>
      </w:tr>
      <w:tr w:rsidR="00D51C45" w:rsidTr="00B07466">
        <w:tc>
          <w:tcPr>
            <w:tcW w:w="565" w:type="dxa"/>
          </w:tcPr>
          <w:p w:rsidR="00D51C45" w:rsidRPr="00106102" w:rsidRDefault="00D51C45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96" w:type="dxa"/>
          </w:tcPr>
          <w:p w:rsidR="00D51C45" w:rsidRDefault="00D51C4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2045" w:type="dxa"/>
          </w:tcPr>
          <w:p w:rsidR="00D51C45" w:rsidRDefault="00762A4E" w:rsidP="0093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  <w:p w:rsidR="00762A4E" w:rsidRPr="007A452C" w:rsidRDefault="00762A4E" w:rsidP="0093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(22%)</w:t>
            </w:r>
          </w:p>
        </w:tc>
        <w:tc>
          <w:tcPr>
            <w:tcW w:w="2104" w:type="dxa"/>
          </w:tcPr>
          <w:p w:rsidR="00D51C45" w:rsidRPr="001D5118" w:rsidRDefault="00B07466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212</w:t>
            </w:r>
          </w:p>
          <w:p w:rsidR="00D51C45" w:rsidRPr="001D5118" w:rsidRDefault="00D51C45" w:rsidP="00B074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B074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2345" w:type="dxa"/>
          </w:tcPr>
          <w:p w:rsidR="00D51C45" w:rsidRDefault="00EC109F" w:rsidP="0055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+78</w:t>
            </w:r>
          </w:p>
        </w:tc>
      </w:tr>
      <w:tr w:rsidR="00D51C45" w:rsidTr="00B07466">
        <w:tc>
          <w:tcPr>
            <w:tcW w:w="565" w:type="dxa"/>
          </w:tcPr>
          <w:p w:rsidR="00D51C45" w:rsidRPr="00106102" w:rsidRDefault="00D51C45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96" w:type="dxa"/>
          </w:tcPr>
          <w:p w:rsidR="00D51C45" w:rsidRDefault="00D51C4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ТСР, СКЛ и ПОИ</w:t>
            </w:r>
          </w:p>
        </w:tc>
        <w:tc>
          <w:tcPr>
            <w:tcW w:w="2045" w:type="dxa"/>
          </w:tcPr>
          <w:p w:rsidR="00D51C45" w:rsidRDefault="00762A4E" w:rsidP="0093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762A4E" w:rsidRPr="007A452C" w:rsidRDefault="00762A4E" w:rsidP="0093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(2%)</w:t>
            </w:r>
          </w:p>
        </w:tc>
        <w:tc>
          <w:tcPr>
            <w:tcW w:w="2104" w:type="dxa"/>
          </w:tcPr>
          <w:p w:rsidR="00D51C45" w:rsidRPr="001D5118" w:rsidRDefault="00B07466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  <w:p w:rsidR="00D51C45" w:rsidRPr="001D5118" w:rsidRDefault="00D51C45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(2%)</w:t>
            </w:r>
          </w:p>
        </w:tc>
        <w:tc>
          <w:tcPr>
            <w:tcW w:w="2345" w:type="dxa"/>
          </w:tcPr>
          <w:p w:rsidR="00D51C45" w:rsidRDefault="00EC109F" w:rsidP="0055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</w:t>
            </w:r>
          </w:p>
        </w:tc>
      </w:tr>
      <w:tr w:rsidR="00D51C45" w:rsidTr="00B07466">
        <w:tc>
          <w:tcPr>
            <w:tcW w:w="565" w:type="dxa"/>
          </w:tcPr>
          <w:p w:rsidR="00D51C45" w:rsidRPr="00106102" w:rsidRDefault="00D51C45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96" w:type="dxa"/>
          </w:tcPr>
          <w:p w:rsidR="00D51C45" w:rsidRDefault="00D51C4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семьи</w:t>
            </w:r>
          </w:p>
        </w:tc>
        <w:tc>
          <w:tcPr>
            <w:tcW w:w="2045" w:type="dxa"/>
          </w:tcPr>
          <w:p w:rsidR="00D51C45" w:rsidRDefault="00762A4E" w:rsidP="0093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  <w:p w:rsidR="00762A4E" w:rsidRPr="007A452C" w:rsidRDefault="00762A4E" w:rsidP="0093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(5%)</w:t>
            </w:r>
          </w:p>
        </w:tc>
        <w:tc>
          <w:tcPr>
            <w:tcW w:w="2104" w:type="dxa"/>
          </w:tcPr>
          <w:p w:rsidR="00D51C45" w:rsidRPr="001D5118" w:rsidRDefault="00B07466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55</w:t>
            </w:r>
          </w:p>
          <w:p w:rsidR="00D51C45" w:rsidRPr="001D5118" w:rsidRDefault="00D51C45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(3%)</w:t>
            </w:r>
          </w:p>
        </w:tc>
        <w:tc>
          <w:tcPr>
            <w:tcW w:w="2345" w:type="dxa"/>
          </w:tcPr>
          <w:p w:rsidR="00D51C45" w:rsidRDefault="00EC109F" w:rsidP="0055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+8</w:t>
            </w:r>
          </w:p>
        </w:tc>
      </w:tr>
      <w:tr w:rsidR="00D51C45" w:rsidTr="00B07466">
        <w:tc>
          <w:tcPr>
            <w:tcW w:w="565" w:type="dxa"/>
          </w:tcPr>
          <w:p w:rsidR="00D51C45" w:rsidRPr="00106102" w:rsidRDefault="00D51C45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96" w:type="dxa"/>
          </w:tcPr>
          <w:p w:rsidR="00D51C45" w:rsidRDefault="00D51C4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звания ветеран труда/ВОВ</w:t>
            </w:r>
          </w:p>
        </w:tc>
        <w:tc>
          <w:tcPr>
            <w:tcW w:w="2045" w:type="dxa"/>
          </w:tcPr>
          <w:p w:rsidR="00D51C45" w:rsidRDefault="00762A4E" w:rsidP="0093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762A4E" w:rsidRPr="007A452C" w:rsidRDefault="00762A4E" w:rsidP="0093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(2%)</w:t>
            </w:r>
          </w:p>
        </w:tc>
        <w:tc>
          <w:tcPr>
            <w:tcW w:w="2104" w:type="dxa"/>
          </w:tcPr>
          <w:p w:rsidR="00D51C45" w:rsidRPr="001D5118" w:rsidRDefault="00B07466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  <w:p w:rsidR="00D51C45" w:rsidRPr="001D5118" w:rsidRDefault="00D51C45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(2%)</w:t>
            </w:r>
          </w:p>
        </w:tc>
        <w:tc>
          <w:tcPr>
            <w:tcW w:w="2345" w:type="dxa"/>
          </w:tcPr>
          <w:p w:rsidR="00D51C45" w:rsidRDefault="00EC109F" w:rsidP="0055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</w:t>
            </w:r>
          </w:p>
        </w:tc>
      </w:tr>
      <w:tr w:rsidR="00D51C45" w:rsidTr="00B07466">
        <w:tc>
          <w:tcPr>
            <w:tcW w:w="565" w:type="dxa"/>
          </w:tcPr>
          <w:p w:rsidR="00D51C45" w:rsidRPr="00106102" w:rsidRDefault="00D51C45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96" w:type="dxa"/>
          </w:tcPr>
          <w:p w:rsidR="00D51C45" w:rsidRDefault="00D51C4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приобретения жилья</w:t>
            </w:r>
          </w:p>
        </w:tc>
        <w:tc>
          <w:tcPr>
            <w:tcW w:w="2045" w:type="dxa"/>
          </w:tcPr>
          <w:p w:rsidR="00D51C45" w:rsidRDefault="00762A4E" w:rsidP="0093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  <w:p w:rsidR="00762A4E" w:rsidRPr="007A452C" w:rsidRDefault="00762A4E" w:rsidP="0093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(5%)</w:t>
            </w:r>
          </w:p>
        </w:tc>
        <w:tc>
          <w:tcPr>
            <w:tcW w:w="2104" w:type="dxa"/>
          </w:tcPr>
          <w:p w:rsidR="00D51C45" w:rsidRPr="001D5118" w:rsidRDefault="00D51C45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B074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  <w:p w:rsidR="00D51C45" w:rsidRPr="001D5118" w:rsidRDefault="00D51C45" w:rsidP="00B074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B074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2345" w:type="dxa"/>
          </w:tcPr>
          <w:p w:rsidR="00D51C45" w:rsidRDefault="00EC109F" w:rsidP="0055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</w:tc>
      </w:tr>
      <w:tr w:rsidR="00D51C45" w:rsidTr="00B07466">
        <w:tc>
          <w:tcPr>
            <w:tcW w:w="565" w:type="dxa"/>
          </w:tcPr>
          <w:p w:rsidR="00D51C45" w:rsidRPr="00106102" w:rsidRDefault="00D51C45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96" w:type="dxa"/>
          </w:tcPr>
          <w:p w:rsidR="00D51C45" w:rsidRDefault="00D51C4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от граждан</w:t>
            </w:r>
          </w:p>
        </w:tc>
        <w:tc>
          <w:tcPr>
            <w:tcW w:w="2045" w:type="dxa"/>
          </w:tcPr>
          <w:p w:rsidR="00D51C45" w:rsidRDefault="00762A4E" w:rsidP="0093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62A4E" w:rsidRPr="007A452C" w:rsidRDefault="00762A4E" w:rsidP="0093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(0%)</w:t>
            </w:r>
          </w:p>
        </w:tc>
        <w:tc>
          <w:tcPr>
            <w:tcW w:w="2104" w:type="dxa"/>
          </w:tcPr>
          <w:p w:rsidR="00D51C45" w:rsidRPr="001D5118" w:rsidRDefault="00B07466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:rsidR="00D51C45" w:rsidRPr="001D5118" w:rsidRDefault="00D51C45" w:rsidP="00B074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B074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2345" w:type="dxa"/>
          </w:tcPr>
          <w:p w:rsidR="00D51C45" w:rsidRDefault="00EC109F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</w:tr>
      <w:tr w:rsidR="00D51C45" w:rsidTr="00B07466">
        <w:tc>
          <w:tcPr>
            <w:tcW w:w="565" w:type="dxa"/>
          </w:tcPr>
          <w:p w:rsidR="00D51C45" w:rsidRPr="00106102" w:rsidRDefault="00D51C45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D51C45" w:rsidRDefault="00D51C45" w:rsidP="008D4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вне компетенции Министерства</w:t>
            </w:r>
          </w:p>
        </w:tc>
        <w:tc>
          <w:tcPr>
            <w:tcW w:w="2045" w:type="dxa"/>
          </w:tcPr>
          <w:p w:rsidR="00D51C45" w:rsidRDefault="00762A4E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762A4E" w:rsidRPr="007A452C" w:rsidRDefault="00762A4E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(2%)</w:t>
            </w:r>
          </w:p>
        </w:tc>
        <w:tc>
          <w:tcPr>
            <w:tcW w:w="2104" w:type="dxa"/>
          </w:tcPr>
          <w:p w:rsidR="00D51C45" w:rsidRPr="001D5118" w:rsidRDefault="00B07466" w:rsidP="001B3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</w:t>
            </w:r>
          </w:p>
          <w:p w:rsidR="00D51C45" w:rsidRPr="001D5118" w:rsidRDefault="00D51C45" w:rsidP="00B074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B074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2345" w:type="dxa"/>
          </w:tcPr>
          <w:p w:rsidR="00D51C45" w:rsidRDefault="00EC109F" w:rsidP="0055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51C45" w:rsidTr="00B07466">
        <w:tc>
          <w:tcPr>
            <w:tcW w:w="565" w:type="dxa"/>
          </w:tcPr>
          <w:p w:rsidR="00D51C45" w:rsidRPr="00106102" w:rsidRDefault="00D51C45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D51C45" w:rsidRDefault="00D51C45" w:rsidP="008D4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45" w:type="dxa"/>
          </w:tcPr>
          <w:p w:rsidR="00D51C45" w:rsidRPr="007A452C" w:rsidRDefault="00B07466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1385</w:t>
            </w:r>
          </w:p>
        </w:tc>
        <w:tc>
          <w:tcPr>
            <w:tcW w:w="2104" w:type="dxa"/>
          </w:tcPr>
          <w:p w:rsidR="00D51C45" w:rsidRPr="001D5118" w:rsidRDefault="00D51C45" w:rsidP="00B074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="00B074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2345" w:type="dxa"/>
          </w:tcPr>
          <w:p w:rsidR="00D51C45" w:rsidRDefault="00EC109F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-166</w:t>
            </w:r>
          </w:p>
          <w:p w:rsidR="00050C70" w:rsidRDefault="00050C70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707A" w:rsidRPr="00AB0FF3" w:rsidRDefault="0044707A" w:rsidP="00447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29400" cy="42100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707A" w:rsidRDefault="0044707A" w:rsidP="00447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Pr="00A118F8" w:rsidRDefault="0044707A" w:rsidP="00A118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A5">
        <w:rPr>
          <w:rFonts w:ascii="Times New Roman" w:hAnsi="Times New Roman" w:cs="Times New Roman"/>
          <w:b/>
          <w:sz w:val="28"/>
          <w:szCs w:val="28"/>
        </w:rPr>
        <w:t>Руководством Министерства проведено</w:t>
      </w:r>
      <w:r w:rsidRPr="00CA48A5">
        <w:rPr>
          <w:rFonts w:ascii="Times New Roman" w:hAnsi="Times New Roman" w:cs="Times New Roman"/>
          <w:sz w:val="28"/>
          <w:szCs w:val="28"/>
        </w:rPr>
        <w:t xml:space="preserve"> </w:t>
      </w:r>
      <w:r w:rsidR="00EC109F">
        <w:rPr>
          <w:rFonts w:ascii="Times New Roman" w:hAnsi="Times New Roman" w:cs="Times New Roman"/>
          <w:sz w:val="28"/>
          <w:szCs w:val="28"/>
        </w:rPr>
        <w:t>9</w:t>
      </w:r>
      <w:r w:rsidRPr="00CA48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18F8">
        <w:rPr>
          <w:rFonts w:ascii="Times New Roman" w:hAnsi="Times New Roman" w:cs="Times New Roman"/>
          <w:sz w:val="28"/>
          <w:szCs w:val="28"/>
        </w:rPr>
        <w:t xml:space="preserve">личных приёма </w:t>
      </w:r>
      <w:r w:rsidRPr="00CA48A5">
        <w:rPr>
          <w:rFonts w:ascii="Times New Roman" w:hAnsi="Times New Roman" w:cs="Times New Roman"/>
          <w:sz w:val="28"/>
          <w:szCs w:val="28"/>
        </w:rPr>
        <w:t xml:space="preserve"> граждан и принято </w:t>
      </w:r>
      <w:r w:rsidR="007A452C">
        <w:rPr>
          <w:rFonts w:ascii="Times New Roman" w:hAnsi="Times New Roman" w:cs="Times New Roman"/>
          <w:b/>
          <w:sz w:val="28"/>
          <w:szCs w:val="28"/>
        </w:rPr>
        <w:t>1</w:t>
      </w:r>
      <w:r w:rsidR="00EC109F">
        <w:rPr>
          <w:rFonts w:ascii="Times New Roman" w:hAnsi="Times New Roman" w:cs="Times New Roman"/>
          <w:b/>
          <w:sz w:val="28"/>
          <w:szCs w:val="28"/>
        </w:rPr>
        <w:t>9</w:t>
      </w:r>
      <w:r w:rsidRPr="00A118F8">
        <w:rPr>
          <w:rFonts w:ascii="Times New Roman" w:hAnsi="Times New Roman" w:cs="Times New Roman"/>
          <w:b/>
          <w:sz w:val="28"/>
          <w:szCs w:val="28"/>
        </w:rPr>
        <w:t xml:space="preserve">  чел</w:t>
      </w:r>
      <w:r w:rsidRPr="00A118F8">
        <w:rPr>
          <w:rFonts w:ascii="Times New Roman" w:hAnsi="Times New Roman" w:cs="Times New Roman"/>
          <w:sz w:val="28"/>
          <w:szCs w:val="28"/>
        </w:rPr>
        <w:t>.</w:t>
      </w:r>
    </w:p>
    <w:p w:rsidR="0044707A" w:rsidRPr="006546A5" w:rsidRDefault="0044707A" w:rsidP="00447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Pr="00801421" w:rsidRDefault="0044707A" w:rsidP="00447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4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Общее количество обращений граждан в разрезе МО области.</w:t>
      </w:r>
    </w:p>
    <w:p w:rsidR="0044707A" w:rsidRPr="001A363C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276"/>
        <w:gridCol w:w="1276"/>
        <w:gridCol w:w="1701"/>
      </w:tblGrid>
      <w:tr w:rsidR="00011F69" w:rsidRPr="001A363C" w:rsidTr="00011F69">
        <w:tc>
          <w:tcPr>
            <w:tcW w:w="3510" w:type="dxa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18" w:type="dxa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численность населения</w:t>
            </w:r>
          </w:p>
        </w:tc>
        <w:tc>
          <w:tcPr>
            <w:tcW w:w="1417" w:type="dxa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</w:t>
            </w:r>
            <w:r w:rsidRPr="0080142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кв. </w:t>
            </w:r>
          </w:p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2020 года</w:t>
            </w:r>
          </w:p>
        </w:tc>
        <w:tc>
          <w:tcPr>
            <w:tcW w:w="1276" w:type="dxa"/>
          </w:tcPr>
          <w:p w:rsidR="00011F69" w:rsidRPr="00632D6C" w:rsidRDefault="00011F69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632D6C">
              <w:rPr>
                <w:rFonts w:ascii="PT Astra Serif" w:hAnsi="PT Astra Serif" w:cs="Times New Roman"/>
                <w:sz w:val="24"/>
                <w:szCs w:val="24"/>
              </w:rPr>
              <w:t xml:space="preserve"> кв. </w:t>
            </w:r>
          </w:p>
          <w:p w:rsidR="00011F69" w:rsidRPr="001A363C" w:rsidRDefault="00011F69" w:rsidP="005F1D6F">
            <w:pPr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632D6C">
              <w:rPr>
                <w:rFonts w:ascii="PT Astra Serif" w:hAnsi="PT Astra Serif" w:cs="Times New Roman"/>
                <w:sz w:val="24"/>
                <w:szCs w:val="24"/>
              </w:rPr>
              <w:t>2021 года</w:t>
            </w:r>
          </w:p>
        </w:tc>
        <w:tc>
          <w:tcPr>
            <w:tcW w:w="1276" w:type="dxa"/>
          </w:tcPr>
          <w:p w:rsidR="00011F69" w:rsidRPr="00C57056" w:rsidRDefault="00011F69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056">
              <w:rPr>
                <w:rFonts w:ascii="PT Astra Serif" w:hAnsi="PT Astra Serif" w:cs="Times New Roman"/>
                <w:sz w:val="24"/>
                <w:szCs w:val="24"/>
              </w:rPr>
              <w:t>Отклонение</w:t>
            </w:r>
          </w:p>
          <w:p w:rsidR="00011F69" w:rsidRPr="00C57056" w:rsidRDefault="00011F69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57056">
              <w:rPr>
                <w:rFonts w:ascii="PT Astra Serif" w:hAnsi="PT Astra Serif" w:cs="Times New Roman"/>
                <w:sz w:val="24"/>
                <w:szCs w:val="24"/>
              </w:rPr>
              <w:t>(+,-)</w:t>
            </w:r>
          </w:p>
        </w:tc>
        <w:tc>
          <w:tcPr>
            <w:tcW w:w="1701" w:type="dxa"/>
          </w:tcPr>
          <w:p w:rsidR="00011F69" w:rsidRPr="0011710A" w:rsidRDefault="00011F69" w:rsidP="005F1D6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710A">
              <w:rPr>
                <w:rFonts w:ascii="PT Astra Serif" w:hAnsi="PT Astra Serif" w:cs="Times New Roman"/>
                <w:sz w:val="24"/>
                <w:szCs w:val="24"/>
              </w:rPr>
              <w:t xml:space="preserve">На 10 тыс. населения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11710A">
              <w:rPr>
                <w:rFonts w:ascii="PT Astra Serif" w:hAnsi="PT Astra Serif" w:cs="Times New Roman"/>
                <w:sz w:val="24"/>
                <w:szCs w:val="24"/>
              </w:rPr>
              <w:t xml:space="preserve"> кв.</w:t>
            </w:r>
          </w:p>
          <w:p w:rsidR="00011F69" w:rsidRPr="001A363C" w:rsidRDefault="00011F69" w:rsidP="005F1D6F">
            <w:pPr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11710A">
              <w:rPr>
                <w:rFonts w:ascii="PT Astra Serif" w:hAnsi="PT Astra Serif" w:cs="Times New Roman"/>
                <w:sz w:val="24"/>
                <w:szCs w:val="24"/>
              </w:rPr>
              <w:t>2021г</w:t>
            </w:r>
          </w:p>
        </w:tc>
      </w:tr>
      <w:tr w:rsidR="00011F69" w:rsidRPr="001A363C" w:rsidTr="00011F69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011F69" w:rsidRPr="00801421" w:rsidRDefault="00011F69" w:rsidP="00C57056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Без указания точного адреса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289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11F69" w:rsidRPr="00C57056" w:rsidRDefault="00011F69" w:rsidP="00632D6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-219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1F69" w:rsidRPr="001A363C" w:rsidRDefault="00011F69" w:rsidP="005F1D6F">
            <w:pPr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011F69" w:rsidRPr="001A363C" w:rsidTr="00011F69">
        <w:trPr>
          <w:trHeight w:val="3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Город Ульяновск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625 000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1F69" w:rsidRPr="008C55B1" w:rsidRDefault="00011F69" w:rsidP="008C55B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11F69" w:rsidRPr="00C57056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-55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1F69" w:rsidRPr="009F61B5" w:rsidRDefault="00011F69" w:rsidP="009F61B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9,81</w:t>
            </w:r>
          </w:p>
        </w:tc>
      </w:tr>
      <w:tr w:rsidR="00011F69" w:rsidRPr="001A363C" w:rsidTr="00011F69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Базарносызганский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10 009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11F69" w:rsidRPr="00C57056" w:rsidRDefault="00011F69" w:rsidP="00632D6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1F69" w:rsidRPr="00F970C1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2,0</w:t>
            </w:r>
          </w:p>
        </w:tc>
      </w:tr>
      <w:tr w:rsidR="00011F69" w:rsidRPr="001A363C" w:rsidTr="00011F69"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Барышский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46 000</w:t>
            </w: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-9</w:t>
            </w:r>
          </w:p>
        </w:tc>
        <w:tc>
          <w:tcPr>
            <w:tcW w:w="1701" w:type="dxa"/>
          </w:tcPr>
          <w:p w:rsidR="00011F69" w:rsidRPr="00F970C1" w:rsidRDefault="00011F69" w:rsidP="00F970C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4,35</w:t>
            </w:r>
          </w:p>
        </w:tc>
      </w:tr>
      <w:tr w:rsidR="00011F69" w:rsidRPr="001A363C" w:rsidTr="00011F69"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Вешкаймский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22 000</w:t>
            </w: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632D6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+4</w:t>
            </w:r>
          </w:p>
        </w:tc>
        <w:tc>
          <w:tcPr>
            <w:tcW w:w="1701" w:type="dxa"/>
          </w:tcPr>
          <w:p w:rsidR="00011F69" w:rsidRPr="00F970C1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9,09</w:t>
            </w:r>
          </w:p>
        </w:tc>
      </w:tr>
      <w:tr w:rsidR="00011F69" w:rsidRPr="001A363C" w:rsidTr="00011F69"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имитровград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12 705</w:t>
            </w: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011F69" w:rsidRPr="008C55B1" w:rsidRDefault="00011F69" w:rsidP="00632D6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632D6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+9</w:t>
            </w:r>
          </w:p>
        </w:tc>
        <w:tc>
          <w:tcPr>
            <w:tcW w:w="1701" w:type="dxa"/>
          </w:tcPr>
          <w:p w:rsidR="00011F69" w:rsidRPr="00F970C1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52,74</w:t>
            </w:r>
          </w:p>
        </w:tc>
      </w:tr>
      <w:tr w:rsidR="00011F69" w:rsidRPr="001A363C" w:rsidTr="00011F69"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Инзенский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37 007</w:t>
            </w: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632D6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+2</w:t>
            </w:r>
          </w:p>
        </w:tc>
        <w:tc>
          <w:tcPr>
            <w:tcW w:w="1701" w:type="dxa"/>
          </w:tcPr>
          <w:p w:rsidR="00011F69" w:rsidRPr="00F970C1" w:rsidRDefault="00011F69" w:rsidP="00F970C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8,65</w:t>
            </w:r>
          </w:p>
        </w:tc>
      </w:tr>
      <w:tr w:rsidR="00011F69" w:rsidRPr="001A363C" w:rsidTr="00011F69"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Карсунский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27 004</w:t>
            </w: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-5</w:t>
            </w:r>
          </w:p>
        </w:tc>
        <w:tc>
          <w:tcPr>
            <w:tcW w:w="1701" w:type="dxa"/>
          </w:tcPr>
          <w:p w:rsidR="00011F69" w:rsidRPr="00F970C1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6,30</w:t>
            </w:r>
          </w:p>
        </w:tc>
      </w:tr>
      <w:tr w:rsidR="00011F69" w:rsidRPr="001A363C" w:rsidTr="00011F69"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Кузоватовский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26 009</w:t>
            </w: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632D6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+2</w:t>
            </w:r>
          </w:p>
        </w:tc>
        <w:tc>
          <w:tcPr>
            <w:tcW w:w="1701" w:type="dxa"/>
          </w:tcPr>
          <w:p w:rsidR="00011F69" w:rsidRPr="00F970C1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3,46</w:t>
            </w:r>
          </w:p>
        </w:tc>
      </w:tr>
      <w:tr w:rsidR="00011F69" w:rsidRPr="001A363C" w:rsidTr="00011F69"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Майнский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28 009</w:t>
            </w: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632D6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11F69" w:rsidRPr="00F970C1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4,65</w:t>
            </w:r>
          </w:p>
        </w:tc>
      </w:tr>
      <w:tr w:rsidR="00011F69" w:rsidRPr="001A363C" w:rsidTr="00011F69"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Мелекесский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39 002</w:t>
            </w: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-29</w:t>
            </w:r>
          </w:p>
        </w:tc>
        <w:tc>
          <w:tcPr>
            <w:tcW w:w="1701" w:type="dxa"/>
          </w:tcPr>
          <w:p w:rsidR="00011F69" w:rsidRPr="00F970C1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3,08</w:t>
            </w:r>
          </w:p>
        </w:tc>
      </w:tr>
      <w:tr w:rsidR="00011F69" w:rsidRPr="001A363C" w:rsidTr="00011F69">
        <w:trPr>
          <w:trHeight w:val="70"/>
        </w:trPr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Николаевский р-н</w:t>
            </w:r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29 002</w:t>
            </w: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11F69" w:rsidRPr="00F970C1" w:rsidRDefault="00011F69" w:rsidP="00F970C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2,76</w:t>
            </w:r>
          </w:p>
        </w:tc>
      </w:tr>
      <w:tr w:rsidR="00011F69" w:rsidRPr="001A363C" w:rsidTr="00011F69"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Новоспасский р-н</w:t>
            </w:r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23 004</w:t>
            </w: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11F69" w:rsidRPr="008C55B1" w:rsidRDefault="00011F69" w:rsidP="00632D6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+3</w:t>
            </w:r>
          </w:p>
        </w:tc>
        <w:tc>
          <w:tcPr>
            <w:tcW w:w="1701" w:type="dxa"/>
          </w:tcPr>
          <w:p w:rsidR="00011F69" w:rsidRPr="00F970C1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3,92</w:t>
            </w:r>
          </w:p>
        </w:tc>
      </w:tr>
      <w:tr w:rsidR="00011F69" w:rsidRPr="001A363C" w:rsidTr="00011F69"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Новомалыклинский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16 008</w:t>
            </w: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C57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+9</w:t>
            </w:r>
          </w:p>
        </w:tc>
        <w:tc>
          <w:tcPr>
            <w:tcW w:w="1701" w:type="dxa"/>
          </w:tcPr>
          <w:p w:rsidR="00011F69" w:rsidRPr="00F970C1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6,88</w:t>
            </w:r>
          </w:p>
        </w:tc>
      </w:tr>
      <w:tr w:rsidR="00011F69" w:rsidRPr="001A363C" w:rsidTr="00011F69"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овоульяновск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16 004</w:t>
            </w: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11F69" w:rsidRPr="00F970C1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6,25</w:t>
            </w:r>
          </w:p>
        </w:tc>
      </w:tr>
      <w:tr w:rsidR="00011F69" w:rsidRPr="001A363C" w:rsidTr="00011F69"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Павловский р-н</w:t>
            </w:r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16 001</w:t>
            </w: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+6</w:t>
            </w:r>
          </w:p>
        </w:tc>
        <w:tc>
          <w:tcPr>
            <w:tcW w:w="1701" w:type="dxa"/>
          </w:tcPr>
          <w:p w:rsidR="00011F69" w:rsidRPr="00F970C1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5,63</w:t>
            </w:r>
          </w:p>
        </w:tc>
      </w:tr>
      <w:tr w:rsidR="00011F69" w:rsidRPr="001A363C" w:rsidTr="00011F69"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Радищевский р-н</w:t>
            </w:r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14 008</w:t>
            </w: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-6</w:t>
            </w:r>
          </w:p>
        </w:tc>
        <w:tc>
          <w:tcPr>
            <w:tcW w:w="1701" w:type="dxa"/>
          </w:tcPr>
          <w:p w:rsidR="00011F69" w:rsidRPr="0011710A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2,86</w:t>
            </w:r>
          </w:p>
        </w:tc>
      </w:tr>
      <w:tr w:rsidR="00011F69" w:rsidRPr="001A363C" w:rsidTr="00011F69"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bookmarkStart w:id="0" w:name="_GoBack"/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Сенгилеевский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25 004</w:t>
            </w: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+5</w:t>
            </w:r>
          </w:p>
        </w:tc>
        <w:tc>
          <w:tcPr>
            <w:tcW w:w="1701" w:type="dxa"/>
          </w:tcPr>
          <w:p w:rsidR="00011F69" w:rsidRPr="0011710A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4,00</w:t>
            </w:r>
          </w:p>
        </w:tc>
      </w:tr>
      <w:bookmarkEnd w:id="0"/>
      <w:tr w:rsidR="00011F69" w:rsidRPr="001A363C" w:rsidTr="00011F69"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lastRenderedPageBreak/>
              <w:t>Старокулаткинский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16 004</w:t>
            </w: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11F69" w:rsidRPr="0011710A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2,50</w:t>
            </w:r>
          </w:p>
        </w:tc>
      </w:tr>
      <w:tr w:rsidR="00011F69" w:rsidRPr="001A363C" w:rsidTr="00011F69"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Старомайнский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20 000</w:t>
            </w: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11F69" w:rsidRPr="0011710A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5,50</w:t>
            </w:r>
          </w:p>
        </w:tc>
      </w:tr>
      <w:tr w:rsidR="00011F69" w:rsidRPr="001A363C" w:rsidTr="00011F69"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Сурский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19 008</w:t>
            </w: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C57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+2</w:t>
            </w:r>
          </w:p>
        </w:tc>
        <w:tc>
          <w:tcPr>
            <w:tcW w:w="1701" w:type="dxa"/>
          </w:tcPr>
          <w:p w:rsidR="00011F69" w:rsidRPr="0011710A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3,69</w:t>
            </w:r>
          </w:p>
        </w:tc>
      </w:tr>
      <w:tr w:rsidR="00011F69" w:rsidRPr="001A363C" w:rsidTr="00011F69"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Тереньгульский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19 009</w:t>
            </w: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+6</w:t>
            </w:r>
          </w:p>
        </w:tc>
        <w:tc>
          <w:tcPr>
            <w:tcW w:w="1701" w:type="dxa"/>
          </w:tcPr>
          <w:p w:rsidR="00011F69" w:rsidRPr="0011710A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8,42</w:t>
            </w:r>
          </w:p>
        </w:tc>
      </w:tr>
      <w:tr w:rsidR="00011F69" w:rsidRPr="001A363C" w:rsidTr="00011F69"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Ульяновский р-н</w:t>
            </w:r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36 003</w:t>
            </w: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C57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-4</w:t>
            </w:r>
          </w:p>
        </w:tc>
        <w:tc>
          <w:tcPr>
            <w:tcW w:w="1701" w:type="dxa"/>
          </w:tcPr>
          <w:p w:rsidR="00011F69" w:rsidRPr="0011710A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6,95</w:t>
            </w:r>
          </w:p>
        </w:tc>
      </w:tr>
      <w:tr w:rsidR="00011F69" w:rsidRPr="001A363C" w:rsidTr="00011F69"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Цильнинский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28 003</w:t>
            </w: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C57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+2</w:t>
            </w:r>
          </w:p>
        </w:tc>
        <w:tc>
          <w:tcPr>
            <w:tcW w:w="1701" w:type="dxa"/>
          </w:tcPr>
          <w:p w:rsidR="00011F69" w:rsidRPr="0011710A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6,79</w:t>
            </w:r>
          </w:p>
        </w:tc>
      </w:tr>
      <w:tr w:rsidR="00011F69" w:rsidRPr="001A363C" w:rsidTr="00011F69">
        <w:trPr>
          <w:trHeight w:val="70"/>
        </w:trPr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Чердаклинский</w:t>
            </w:r>
            <w:proofErr w:type="spellEnd"/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42 006</w:t>
            </w: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C57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-3</w:t>
            </w:r>
          </w:p>
        </w:tc>
        <w:tc>
          <w:tcPr>
            <w:tcW w:w="1701" w:type="dxa"/>
          </w:tcPr>
          <w:p w:rsidR="00011F69" w:rsidRPr="0011710A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4,53</w:t>
            </w:r>
          </w:p>
        </w:tc>
      </w:tr>
      <w:tr w:rsidR="00011F69" w:rsidRPr="001A363C" w:rsidTr="00011F69"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Другие регионы</w:t>
            </w:r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011F69" w:rsidRPr="00C57056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-3</w:t>
            </w:r>
          </w:p>
        </w:tc>
        <w:tc>
          <w:tcPr>
            <w:tcW w:w="1701" w:type="dxa"/>
          </w:tcPr>
          <w:p w:rsidR="00011F69" w:rsidRPr="0011710A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11F69" w:rsidRPr="001A363C" w:rsidTr="00011F69">
        <w:tc>
          <w:tcPr>
            <w:tcW w:w="3510" w:type="dxa"/>
            <w:shd w:val="clear" w:color="auto" w:fill="auto"/>
          </w:tcPr>
          <w:p w:rsidR="00011F69" w:rsidRPr="00801421" w:rsidRDefault="00011F69" w:rsidP="005F1D6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8014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11F69" w:rsidRPr="00801421" w:rsidRDefault="00011F69" w:rsidP="005F1D6F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11F69" w:rsidRPr="00183638" w:rsidRDefault="00011F69" w:rsidP="00486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1551</w:t>
            </w:r>
          </w:p>
        </w:tc>
        <w:tc>
          <w:tcPr>
            <w:tcW w:w="1276" w:type="dxa"/>
          </w:tcPr>
          <w:p w:rsidR="00011F69" w:rsidRPr="008C55B1" w:rsidRDefault="00011F69" w:rsidP="005F1D6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C55B1">
              <w:rPr>
                <w:rFonts w:ascii="PT Astra Serif" w:hAnsi="PT Astra Serif" w:cs="Times New Roman"/>
                <w:b/>
                <w:sz w:val="28"/>
                <w:szCs w:val="28"/>
              </w:rPr>
              <w:t>1385</w:t>
            </w:r>
          </w:p>
        </w:tc>
        <w:tc>
          <w:tcPr>
            <w:tcW w:w="1276" w:type="dxa"/>
            <w:shd w:val="clear" w:color="auto" w:fill="auto"/>
          </w:tcPr>
          <w:p w:rsidR="00011F69" w:rsidRPr="009F72D1" w:rsidRDefault="00011F69" w:rsidP="005F1D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F72D1">
              <w:rPr>
                <w:rFonts w:ascii="PT Astra Serif" w:hAnsi="PT Astra Serif" w:cs="Times New Roman"/>
                <w:sz w:val="28"/>
                <w:szCs w:val="28"/>
              </w:rPr>
              <w:t>-166</w:t>
            </w:r>
          </w:p>
        </w:tc>
        <w:tc>
          <w:tcPr>
            <w:tcW w:w="1701" w:type="dxa"/>
          </w:tcPr>
          <w:p w:rsidR="00011F69" w:rsidRPr="001A363C" w:rsidRDefault="00011F69" w:rsidP="005F1D6F">
            <w:pPr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</w:tbl>
    <w:p w:rsidR="0044707A" w:rsidRPr="001A363C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18F8" w:rsidRPr="00A118F8" w:rsidRDefault="00A118F8" w:rsidP="00A118F8">
      <w:pPr>
        <w:pStyle w:val="a7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F8">
        <w:rPr>
          <w:rFonts w:ascii="Times New Roman" w:hAnsi="Times New Roman" w:cs="Times New Roman"/>
          <w:color w:val="auto"/>
          <w:sz w:val="28"/>
          <w:szCs w:val="28"/>
        </w:rPr>
        <w:t>Соотношение количества обращений  на количество населения в разрезе МО</w:t>
      </w:r>
    </w:p>
    <w:p w:rsidR="0044707A" w:rsidRDefault="000A45EF" w:rsidP="00316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91325" cy="75628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467E" w:rsidRPr="00050C70" w:rsidRDefault="00A5467E" w:rsidP="00A54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8F8" w:rsidRPr="00050C70" w:rsidRDefault="00A118F8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u w:val="single"/>
        </w:rPr>
      </w:pPr>
    </w:p>
    <w:p w:rsidR="009C24F9" w:rsidRPr="00050C70" w:rsidRDefault="009C24F9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FF0000"/>
          <w:sz w:val="28"/>
          <w:szCs w:val="28"/>
          <w:u w:val="single"/>
        </w:rPr>
      </w:pPr>
    </w:p>
    <w:p w:rsidR="00050C70" w:rsidRDefault="00050C70" w:rsidP="00050C70">
      <w:pPr>
        <w:spacing w:after="0" w:line="240" w:lineRule="auto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050C70" w:rsidRDefault="00050C70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D620F8" w:rsidRPr="009C24F9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C24F9">
        <w:rPr>
          <w:rFonts w:ascii="PT Astra Serif" w:hAnsi="PT Astra Serif" w:cs="Times New Roman"/>
          <w:sz w:val="28"/>
          <w:szCs w:val="28"/>
        </w:rPr>
        <w:t>Самыми активными на протяжении всего отчетного периода остаются</w:t>
      </w:r>
    </w:p>
    <w:p w:rsidR="000A55CD" w:rsidRPr="009C24F9" w:rsidRDefault="000A55CD" w:rsidP="00D620F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C24F9">
        <w:rPr>
          <w:rFonts w:ascii="PT Astra Serif" w:hAnsi="PT Astra Serif" w:cs="Times New Roman"/>
          <w:sz w:val="28"/>
          <w:szCs w:val="28"/>
        </w:rPr>
        <w:t xml:space="preserve"> жители города Ульяновска </w:t>
      </w:r>
      <w:r w:rsidR="00316501">
        <w:rPr>
          <w:rFonts w:ascii="PT Astra Serif" w:hAnsi="PT Astra Serif" w:cs="Times New Roman"/>
          <w:sz w:val="28"/>
          <w:szCs w:val="28"/>
        </w:rPr>
        <w:t>613</w:t>
      </w:r>
      <w:r w:rsidR="00D620F8" w:rsidRPr="009C24F9">
        <w:rPr>
          <w:rFonts w:ascii="PT Astra Serif" w:hAnsi="PT Astra Serif" w:cs="Times New Roman"/>
          <w:sz w:val="28"/>
          <w:szCs w:val="28"/>
        </w:rPr>
        <w:t xml:space="preserve"> обращения. </w:t>
      </w:r>
    </w:p>
    <w:p w:rsidR="000A55CD" w:rsidRPr="009C24F9" w:rsidRDefault="00316501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34</w:t>
      </w:r>
      <w:r w:rsidR="000A55CD" w:rsidRPr="009C24F9">
        <w:rPr>
          <w:rFonts w:ascii="PT Astra Serif" w:hAnsi="PT Astra Serif" w:cs="Times New Roman"/>
          <w:sz w:val="28"/>
          <w:szCs w:val="28"/>
        </w:rPr>
        <w:t xml:space="preserve"> обращени</w:t>
      </w:r>
      <w:r>
        <w:rPr>
          <w:rFonts w:ascii="PT Astra Serif" w:hAnsi="PT Astra Serif" w:cs="Times New Roman"/>
          <w:sz w:val="28"/>
          <w:szCs w:val="28"/>
        </w:rPr>
        <w:t xml:space="preserve">я </w:t>
      </w:r>
      <w:r w:rsidR="000A55CD" w:rsidRPr="009C24F9">
        <w:rPr>
          <w:rFonts w:ascii="PT Astra Serif" w:hAnsi="PT Astra Serif" w:cs="Times New Roman"/>
          <w:sz w:val="28"/>
          <w:szCs w:val="28"/>
        </w:rPr>
        <w:t>поступило от жителей других регионов.</w:t>
      </w:r>
    </w:p>
    <w:p w:rsidR="000A55CD" w:rsidRPr="009C24F9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C24F9">
        <w:rPr>
          <w:rFonts w:ascii="PT Astra Serif" w:hAnsi="PT Astra Serif" w:cs="Times New Roman"/>
          <w:sz w:val="28"/>
          <w:szCs w:val="28"/>
        </w:rPr>
        <w:t xml:space="preserve">Из г. Димитровграда  </w:t>
      </w:r>
      <w:r w:rsidR="00D620F8" w:rsidRPr="009C24F9">
        <w:rPr>
          <w:rFonts w:ascii="PT Astra Serif" w:hAnsi="PT Astra Serif" w:cs="Times New Roman"/>
          <w:sz w:val="28"/>
          <w:szCs w:val="28"/>
        </w:rPr>
        <w:t>поступило</w:t>
      </w:r>
      <w:r w:rsidRPr="009C24F9">
        <w:rPr>
          <w:rFonts w:ascii="PT Astra Serif" w:hAnsi="PT Astra Serif" w:cs="Times New Roman"/>
          <w:sz w:val="28"/>
          <w:szCs w:val="28"/>
        </w:rPr>
        <w:t xml:space="preserve"> </w:t>
      </w:r>
      <w:r w:rsidR="00516844" w:rsidRPr="009C24F9">
        <w:rPr>
          <w:rFonts w:ascii="PT Astra Serif" w:hAnsi="PT Astra Serif" w:cs="Times New Roman"/>
          <w:sz w:val="28"/>
          <w:szCs w:val="28"/>
        </w:rPr>
        <w:t>5</w:t>
      </w:r>
      <w:r w:rsidR="00316501">
        <w:rPr>
          <w:rFonts w:ascii="PT Astra Serif" w:hAnsi="PT Astra Serif" w:cs="Times New Roman"/>
          <w:sz w:val="28"/>
          <w:szCs w:val="28"/>
        </w:rPr>
        <w:t>8</w:t>
      </w:r>
      <w:r w:rsidRPr="009C24F9">
        <w:rPr>
          <w:rFonts w:ascii="PT Astra Serif" w:hAnsi="PT Astra Serif" w:cs="Times New Roman"/>
          <w:sz w:val="28"/>
          <w:szCs w:val="28"/>
        </w:rPr>
        <w:t xml:space="preserve"> </w:t>
      </w:r>
      <w:r w:rsidR="00D620F8" w:rsidRPr="009C24F9">
        <w:rPr>
          <w:rFonts w:ascii="PT Astra Serif" w:hAnsi="PT Astra Serif" w:cs="Times New Roman"/>
          <w:sz w:val="28"/>
          <w:szCs w:val="28"/>
        </w:rPr>
        <w:t>обращени</w:t>
      </w:r>
      <w:r w:rsidR="00516844" w:rsidRPr="009C24F9">
        <w:rPr>
          <w:rFonts w:ascii="PT Astra Serif" w:hAnsi="PT Astra Serif" w:cs="Times New Roman"/>
          <w:sz w:val="28"/>
          <w:szCs w:val="28"/>
        </w:rPr>
        <w:t>й</w:t>
      </w:r>
      <w:r w:rsidRPr="009C24F9">
        <w:rPr>
          <w:rFonts w:ascii="PT Astra Serif" w:hAnsi="PT Astra Serif" w:cs="Times New Roman"/>
          <w:sz w:val="28"/>
          <w:szCs w:val="28"/>
        </w:rPr>
        <w:t xml:space="preserve">. Среди муниципальных образований больше всего обращений поступило из </w:t>
      </w:r>
      <w:proofErr w:type="spellStart"/>
      <w:r w:rsidR="009C24F9" w:rsidRPr="009C24F9">
        <w:rPr>
          <w:rFonts w:ascii="PT Astra Serif" w:hAnsi="PT Astra Serif" w:cs="Times New Roman"/>
          <w:sz w:val="28"/>
          <w:szCs w:val="28"/>
        </w:rPr>
        <w:t>Инзенского</w:t>
      </w:r>
      <w:proofErr w:type="spellEnd"/>
      <w:r w:rsidRPr="009C24F9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316501">
        <w:rPr>
          <w:rFonts w:ascii="PT Astra Serif" w:hAnsi="PT Astra Serif" w:cs="Times New Roman"/>
          <w:sz w:val="28"/>
          <w:szCs w:val="28"/>
        </w:rPr>
        <w:t xml:space="preserve"> </w:t>
      </w:r>
      <w:r w:rsidRPr="009C24F9">
        <w:rPr>
          <w:rFonts w:ascii="PT Astra Serif" w:hAnsi="PT Astra Serif" w:cs="Times New Roman"/>
          <w:sz w:val="28"/>
          <w:szCs w:val="28"/>
        </w:rPr>
        <w:t>-</w:t>
      </w:r>
      <w:r w:rsidR="00316501">
        <w:rPr>
          <w:rFonts w:ascii="PT Astra Serif" w:hAnsi="PT Astra Serif" w:cs="Times New Roman"/>
          <w:sz w:val="28"/>
          <w:szCs w:val="28"/>
        </w:rPr>
        <w:t xml:space="preserve"> 32</w:t>
      </w:r>
      <w:r w:rsidR="00E941EE" w:rsidRPr="009C24F9">
        <w:rPr>
          <w:rFonts w:ascii="PT Astra Serif" w:hAnsi="PT Astra Serif" w:cs="Times New Roman"/>
          <w:sz w:val="28"/>
          <w:szCs w:val="28"/>
        </w:rPr>
        <w:t xml:space="preserve"> </w:t>
      </w:r>
      <w:r w:rsidRPr="009C24F9">
        <w:rPr>
          <w:rFonts w:ascii="PT Astra Serif" w:hAnsi="PT Astra Serif" w:cs="Times New Roman"/>
          <w:sz w:val="28"/>
          <w:szCs w:val="28"/>
        </w:rPr>
        <w:t>обращени</w:t>
      </w:r>
      <w:r w:rsidR="00316501">
        <w:rPr>
          <w:rFonts w:ascii="PT Astra Serif" w:hAnsi="PT Astra Serif" w:cs="Times New Roman"/>
          <w:sz w:val="28"/>
          <w:szCs w:val="28"/>
        </w:rPr>
        <w:t>я</w:t>
      </w:r>
      <w:r w:rsidRPr="009C24F9">
        <w:rPr>
          <w:rFonts w:ascii="PT Astra Serif" w:hAnsi="PT Astra Serif" w:cs="Times New Roman"/>
          <w:sz w:val="28"/>
          <w:szCs w:val="28"/>
        </w:rPr>
        <w:t xml:space="preserve">,  </w:t>
      </w:r>
      <w:r w:rsidR="00316501">
        <w:rPr>
          <w:rFonts w:ascii="PT Astra Serif" w:hAnsi="PT Astra Serif" w:cs="Times New Roman"/>
          <w:sz w:val="28"/>
          <w:szCs w:val="28"/>
        </w:rPr>
        <w:t>Ульяновского</w:t>
      </w:r>
      <w:r w:rsidR="005467AE" w:rsidRPr="009C24F9">
        <w:rPr>
          <w:rFonts w:ascii="PT Astra Serif" w:hAnsi="PT Astra Serif" w:cs="Times New Roman"/>
          <w:sz w:val="28"/>
          <w:szCs w:val="28"/>
        </w:rPr>
        <w:t xml:space="preserve"> </w:t>
      </w:r>
      <w:r w:rsidRPr="009C24F9">
        <w:rPr>
          <w:rFonts w:ascii="PT Astra Serif" w:hAnsi="PT Astra Serif" w:cs="Times New Roman"/>
          <w:sz w:val="28"/>
          <w:szCs w:val="28"/>
        </w:rPr>
        <w:t xml:space="preserve">района </w:t>
      </w:r>
      <w:r w:rsidR="00E941EE" w:rsidRPr="009C24F9">
        <w:rPr>
          <w:rFonts w:ascii="PT Astra Serif" w:hAnsi="PT Astra Serif" w:cs="Times New Roman"/>
          <w:sz w:val="28"/>
          <w:szCs w:val="28"/>
        </w:rPr>
        <w:t>–</w:t>
      </w:r>
      <w:r w:rsidRPr="009C24F9">
        <w:rPr>
          <w:rFonts w:ascii="PT Astra Serif" w:hAnsi="PT Astra Serif" w:cs="Times New Roman"/>
          <w:sz w:val="28"/>
          <w:szCs w:val="28"/>
        </w:rPr>
        <w:t xml:space="preserve"> </w:t>
      </w:r>
      <w:r w:rsidR="00D620F8" w:rsidRPr="009C24F9">
        <w:rPr>
          <w:rFonts w:ascii="PT Astra Serif" w:hAnsi="PT Astra Serif" w:cs="Times New Roman"/>
          <w:sz w:val="28"/>
          <w:szCs w:val="28"/>
        </w:rPr>
        <w:t>2</w:t>
      </w:r>
      <w:r w:rsidR="00316501">
        <w:rPr>
          <w:rFonts w:ascii="PT Astra Serif" w:hAnsi="PT Astra Serif" w:cs="Times New Roman"/>
          <w:sz w:val="28"/>
          <w:szCs w:val="28"/>
        </w:rPr>
        <w:t>5</w:t>
      </w:r>
      <w:r w:rsidR="00E941EE" w:rsidRPr="009C24F9">
        <w:rPr>
          <w:rFonts w:ascii="PT Astra Serif" w:hAnsi="PT Astra Serif" w:cs="Times New Roman"/>
          <w:sz w:val="28"/>
          <w:szCs w:val="28"/>
        </w:rPr>
        <w:t xml:space="preserve"> </w:t>
      </w:r>
      <w:r w:rsidRPr="009C24F9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E941EE" w:rsidRPr="009C24F9">
        <w:rPr>
          <w:rFonts w:ascii="PT Astra Serif" w:hAnsi="PT Astra Serif" w:cs="Times New Roman"/>
          <w:sz w:val="28"/>
          <w:szCs w:val="28"/>
        </w:rPr>
        <w:t>й</w:t>
      </w:r>
      <w:r w:rsidR="009C24F9" w:rsidRPr="009C24F9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316501">
        <w:rPr>
          <w:rFonts w:ascii="PT Astra Serif" w:hAnsi="PT Astra Serif" w:cs="Times New Roman"/>
          <w:sz w:val="28"/>
          <w:szCs w:val="28"/>
        </w:rPr>
        <w:t>Барышского</w:t>
      </w:r>
      <w:proofErr w:type="spellEnd"/>
      <w:r w:rsidR="00316501">
        <w:rPr>
          <w:rFonts w:ascii="PT Astra Serif" w:hAnsi="PT Astra Serif" w:cs="Times New Roman"/>
          <w:sz w:val="28"/>
          <w:szCs w:val="28"/>
        </w:rPr>
        <w:t xml:space="preserve"> </w:t>
      </w:r>
      <w:r w:rsidR="009C24F9" w:rsidRPr="009C24F9">
        <w:rPr>
          <w:rFonts w:ascii="PT Astra Serif" w:hAnsi="PT Astra Serif" w:cs="Times New Roman"/>
          <w:sz w:val="28"/>
          <w:szCs w:val="28"/>
        </w:rPr>
        <w:t xml:space="preserve"> район</w:t>
      </w:r>
      <w:r w:rsidR="00316501">
        <w:rPr>
          <w:rFonts w:ascii="PT Astra Serif" w:hAnsi="PT Astra Serif" w:cs="Times New Roman"/>
          <w:sz w:val="28"/>
          <w:szCs w:val="28"/>
        </w:rPr>
        <w:t xml:space="preserve">а - 20 обращений, </w:t>
      </w:r>
      <w:proofErr w:type="spellStart"/>
      <w:r w:rsidR="00316501">
        <w:rPr>
          <w:rFonts w:ascii="PT Astra Serif" w:hAnsi="PT Astra Serif" w:cs="Times New Roman"/>
          <w:sz w:val="28"/>
          <w:szCs w:val="28"/>
        </w:rPr>
        <w:t>Вешкаймского</w:t>
      </w:r>
      <w:proofErr w:type="spellEnd"/>
      <w:r w:rsidR="00316501">
        <w:rPr>
          <w:rFonts w:ascii="PT Astra Serif" w:hAnsi="PT Astra Serif" w:cs="Times New Roman"/>
          <w:sz w:val="28"/>
          <w:szCs w:val="28"/>
        </w:rPr>
        <w:t xml:space="preserve"> района - 20 обращений.</w:t>
      </w:r>
    </w:p>
    <w:p w:rsidR="000A55CD" w:rsidRPr="009C24F9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C24F9">
        <w:rPr>
          <w:rFonts w:ascii="PT Astra Serif" w:hAnsi="PT Astra Serif" w:cs="Times New Roman"/>
          <w:sz w:val="28"/>
          <w:szCs w:val="28"/>
        </w:rPr>
        <w:t>Самая низка</w:t>
      </w:r>
      <w:r w:rsidR="00D620F8" w:rsidRPr="009C24F9">
        <w:rPr>
          <w:rFonts w:ascii="PT Astra Serif" w:hAnsi="PT Astra Serif" w:cs="Times New Roman"/>
          <w:sz w:val="28"/>
          <w:szCs w:val="28"/>
        </w:rPr>
        <w:t xml:space="preserve">я активность граждан </w:t>
      </w:r>
      <w:proofErr w:type="gramStart"/>
      <w:r w:rsidR="00D620F8" w:rsidRPr="009C24F9">
        <w:rPr>
          <w:rFonts w:ascii="PT Astra Serif" w:hAnsi="PT Astra Serif" w:cs="Times New Roman"/>
          <w:sz w:val="28"/>
          <w:szCs w:val="28"/>
        </w:rPr>
        <w:t>в</w:t>
      </w:r>
      <w:r w:rsidRPr="009C24F9">
        <w:rPr>
          <w:rFonts w:ascii="PT Astra Serif" w:hAnsi="PT Astra Serif" w:cs="Times New Roman"/>
          <w:sz w:val="28"/>
          <w:szCs w:val="28"/>
        </w:rPr>
        <w:t xml:space="preserve"> отмечается</w:t>
      </w:r>
      <w:proofErr w:type="gramEnd"/>
      <w:r w:rsidRPr="009C24F9">
        <w:rPr>
          <w:rFonts w:ascii="PT Astra Serif" w:hAnsi="PT Astra Serif" w:cs="Times New Roman"/>
          <w:sz w:val="28"/>
          <w:szCs w:val="28"/>
        </w:rPr>
        <w:t xml:space="preserve"> </w:t>
      </w:r>
      <w:r w:rsidR="00E941EE" w:rsidRPr="009C24F9">
        <w:rPr>
          <w:rFonts w:ascii="PT Astra Serif" w:hAnsi="PT Astra Serif" w:cs="Times New Roman"/>
          <w:sz w:val="28"/>
          <w:szCs w:val="28"/>
        </w:rPr>
        <w:t>в</w:t>
      </w:r>
      <w:r w:rsidRPr="009C24F9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316501">
        <w:rPr>
          <w:rFonts w:ascii="PT Astra Serif" w:hAnsi="PT Astra Serif" w:cs="Times New Roman"/>
          <w:sz w:val="28"/>
          <w:szCs w:val="28"/>
        </w:rPr>
        <w:t>Базарносызганском</w:t>
      </w:r>
      <w:proofErr w:type="spellEnd"/>
      <w:r w:rsidR="00316501">
        <w:rPr>
          <w:rFonts w:ascii="PT Astra Serif" w:hAnsi="PT Astra Serif" w:cs="Times New Roman"/>
          <w:sz w:val="28"/>
          <w:szCs w:val="28"/>
        </w:rPr>
        <w:t xml:space="preserve"> районе</w:t>
      </w:r>
      <w:r w:rsidRPr="009C24F9">
        <w:rPr>
          <w:rFonts w:ascii="PT Astra Serif" w:hAnsi="PT Astra Serif" w:cs="Times New Roman"/>
          <w:sz w:val="28"/>
          <w:szCs w:val="28"/>
        </w:rPr>
        <w:t xml:space="preserve"> </w:t>
      </w:r>
      <w:r w:rsidR="009C24F9" w:rsidRPr="009C24F9">
        <w:rPr>
          <w:rFonts w:ascii="PT Astra Serif" w:hAnsi="PT Astra Serif" w:cs="Times New Roman"/>
          <w:sz w:val="28"/>
          <w:szCs w:val="28"/>
        </w:rPr>
        <w:t>–</w:t>
      </w:r>
      <w:r w:rsidRPr="009C24F9">
        <w:rPr>
          <w:rFonts w:ascii="PT Astra Serif" w:hAnsi="PT Astra Serif" w:cs="Times New Roman"/>
          <w:sz w:val="28"/>
          <w:szCs w:val="28"/>
        </w:rPr>
        <w:t xml:space="preserve"> </w:t>
      </w:r>
      <w:r w:rsidR="009C24F9" w:rsidRPr="009C24F9">
        <w:rPr>
          <w:rFonts w:ascii="PT Astra Serif" w:hAnsi="PT Astra Serif" w:cs="Times New Roman"/>
          <w:sz w:val="28"/>
          <w:szCs w:val="28"/>
        </w:rPr>
        <w:t>2 обращения.</w:t>
      </w:r>
    </w:p>
    <w:p w:rsidR="00E941EE" w:rsidRPr="00A118F8" w:rsidRDefault="00E941EE" w:rsidP="00A118F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E941EE" w:rsidRDefault="00E941EE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8F8" w:rsidRDefault="000A45EF" w:rsidP="0034379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343791" w:rsidRPr="00110FD4">
        <w:rPr>
          <w:rFonts w:ascii="PT Astra Serif" w:hAnsi="PT Astra Serif"/>
          <w:sz w:val="28"/>
          <w:szCs w:val="28"/>
        </w:rPr>
        <w:t>Из них:</w:t>
      </w:r>
    </w:p>
    <w:p w:rsidR="00A118F8" w:rsidRDefault="00A118F8" w:rsidP="0034379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740"/>
        <w:gridCol w:w="4216"/>
      </w:tblGrid>
      <w:tr w:rsidR="00A118F8" w:rsidRPr="0081299D" w:rsidTr="005F1D6F">
        <w:trPr>
          <w:trHeight w:val="518"/>
        </w:trPr>
        <w:tc>
          <w:tcPr>
            <w:tcW w:w="5740" w:type="dxa"/>
          </w:tcPr>
          <w:p w:rsidR="00A118F8" w:rsidRPr="0081299D" w:rsidRDefault="00A118F8" w:rsidP="005F1D6F">
            <w:pPr>
              <w:rPr>
                <w:rFonts w:ascii="PT Astra Serif" w:hAnsi="PT Astra Serif"/>
                <w:sz w:val="28"/>
                <w:szCs w:val="28"/>
              </w:rPr>
            </w:pPr>
            <w:r w:rsidRPr="0081299D">
              <w:rPr>
                <w:rFonts w:ascii="PT Astra Serif" w:hAnsi="PT Astra Serif"/>
                <w:sz w:val="28"/>
                <w:szCs w:val="28"/>
              </w:rPr>
              <w:t>Решено положительно</w:t>
            </w:r>
          </w:p>
        </w:tc>
        <w:tc>
          <w:tcPr>
            <w:tcW w:w="4216" w:type="dxa"/>
          </w:tcPr>
          <w:p w:rsidR="00A118F8" w:rsidRPr="0081299D" w:rsidRDefault="00050C70" w:rsidP="00050C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297</w:t>
            </w:r>
            <w:r w:rsidR="001A363C">
              <w:rPr>
                <w:rFonts w:ascii="PT Astra Serif" w:hAnsi="PT Astra Serif"/>
                <w:sz w:val="28"/>
                <w:szCs w:val="28"/>
              </w:rPr>
              <w:t>(</w:t>
            </w: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="001A363C">
              <w:rPr>
                <w:rFonts w:ascii="PT Astra Serif" w:hAnsi="PT Astra Serif"/>
                <w:sz w:val="28"/>
                <w:szCs w:val="28"/>
              </w:rPr>
              <w:t>%)</w:t>
            </w:r>
          </w:p>
        </w:tc>
      </w:tr>
      <w:tr w:rsidR="00A118F8" w:rsidRPr="0081299D" w:rsidTr="005F1D6F">
        <w:trPr>
          <w:trHeight w:val="661"/>
        </w:trPr>
        <w:tc>
          <w:tcPr>
            <w:tcW w:w="5740" w:type="dxa"/>
          </w:tcPr>
          <w:p w:rsidR="00A118F8" w:rsidRPr="0081299D" w:rsidRDefault="00A118F8" w:rsidP="005F1D6F">
            <w:pPr>
              <w:rPr>
                <w:rFonts w:ascii="PT Astra Serif" w:hAnsi="PT Astra Serif"/>
                <w:sz w:val="28"/>
                <w:szCs w:val="28"/>
              </w:rPr>
            </w:pPr>
            <w:r w:rsidRPr="0081299D">
              <w:rPr>
                <w:rFonts w:ascii="PT Astra Serif" w:hAnsi="PT Astra Serif"/>
                <w:sz w:val="28"/>
                <w:szCs w:val="28"/>
              </w:rPr>
              <w:t>Отказано из-за необоснованности обращения</w:t>
            </w:r>
          </w:p>
        </w:tc>
        <w:tc>
          <w:tcPr>
            <w:tcW w:w="4216" w:type="dxa"/>
          </w:tcPr>
          <w:p w:rsidR="00A118F8" w:rsidRPr="0081299D" w:rsidRDefault="00050C70" w:rsidP="00050C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317</w:t>
            </w:r>
            <w:r w:rsidR="001A363C">
              <w:rPr>
                <w:rFonts w:ascii="PT Astra Serif" w:hAnsi="PT Astra Serif"/>
                <w:sz w:val="28"/>
                <w:szCs w:val="28"/>
              </w:rPr>
              <w:t>(</w:t>
            </w: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="001A363C">
              <w:rPr>
                <w:rFonts w:ascii="PT Astra Serif" w:hAnsi="PT Astra Serif"/>
                <w:sz w:val="28"/>
                <w:szCs w:val="28"/>
              </w:rPr>
              <w:t>%)</w:t>
            </w:r>
          </w:p>
        </w:tc>
      </w:tr>
      <w:tr w:rsidR="00A118F8" w:rsidRPr="0081299D" w:rsidTr="005F1D6F">
        <w:trPr>
          <w:trHeight w:val="645"/>
        </w:trPr>
        <w:tc>
          <w:tcPr>
            <w:tcW w:w="5740" w:type="dxa"/>
          </w:tcPr>
          <w:p w:rsidR="00A118F8" w:rsidRPr="0081299D" w:rsidRDefault="00A118F8" w:rsidP="005F1D6F">
            <w:pPr>
              <w:rPr>
                <w:rFonts w:ascii="PT Astra Serif" w:hAnsi="PT Astra Serif"/>
                <w:sz w:val="28"/>
                <w:szCs w:val="28"/>
              </w:rPr>
            </w:pPr>
            <w:r w:rsidRPr="0081299D">
              <w:rPr>
                <w:rFonts w:ascii="PT Astra Serif" w:hAnsi="PT Astra Serif"/>
                <w:sz w:val="28"/>
                <w:szCs w:val="28"/>
              </w:rPr>
              <w:t>Разъяснено в соответствии с действующим законодательством</w:t>
            </w:r>
          </w:p>
        </w:tc>
        <w:tc>
          <w:tcPr>
            <w:tcW w:w="4216" w:type="dxa"/>
          </w:tcPr>
          <w:p w:rsidR="00A118F8" w:rsidRPr="0081299D" w:rsidRDefault="00050C70" w:rsidP="00050C7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771</w:t>
            </w:r>
            <w:r w:rsidR="001A363C">
              <w:rPr>
                <w:rFonts w:ascii="PT Astra Serif" w:hAnsi="PT Astra Serif"/>
                <w:sz w:val="28"/>
                <w:szCs w:val="28"/>
              </w:rPr>
              <w:t>(</w:t>
            </w:r>
            <w:r>
              <w:rPr>
                <w:rFonts w:ascii="PT Astra Serif" w:hAnsi="PT Astra Serif"/>
                <w:sz w:val="28"/>
                <w:szCs w:val="28"/>
              </w:rPr>
              <w:t>56</w:t>
            </w:r>
            <w:r w:rsidR="001A363C">
              <w:rPr>
                <w:rFonts w:ascii="PT Astra Serif" w:hAnsi="PT Astra Serif"/>
                <w:sz w:val="28"/>
                <w:szCs w:val="28"/>
              </w:rPr>
              <w:t>%)</w:t>
            </w:r>
          </w:p>
        </w:tc>
      </w:tr>
      <w:tr w:rsidR="00A118F8" w:rsidRPr="0081299D" w:rsidTr="005F1D6F">
        <w:trPr>
          <w:trHeight w:val="676"/>
        </w:trPr>
        <w:tc>
          <w:tcPr>
            <w:tcW w:w="5740" w:type="dxa"/>
          </w:tcPr>
          <w:p w:rsidR="00A118F8" w:rsidRPr="0081299D" w:rsidRDefault="00A118F8" w:rsidP="005F1D6F">
            <w:pPr>
              <w:rPr>
                <w:rFonts w:ascii="PT Astra Serif" w:hAnsi="PT Astra Serif"/>
                <w:sz w:val="28"/>
                <w:szCs w:val="28"/>
              </w:rPr>
            </w:pPr>
            <w:r w:rsidRPr="0081299D">
              <w:rPr>
                <w:rFonts w:ascii="PT Astra Serif" w:hAnsi="PT Astra Serif"/>
                <w:sz w:val="28"/>
                <w:szCs w:val="28"/>
              </w:rPr>
              <w:t>Находятся в работе</w:t>
            </w:r>
          </w:p>
        </w:tc>
        <w:tc>
          <w:tcPr>
            <w:tcW w:w="4216" w:type="dxa"/>
          </w:tcPr>
          <w:p w:rsidR="00A118F8" w:rsidRPr="0081299D" w:rsidRDefault="00050C70" w:rsidP="005F1D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="001A363C">
              <w:rPr>
                <w:rFonts w:ascii="PT Astra Serif" w:hAnsi="PT Astra Serif"/>
                <w:sz w:val="28"/>
                <w:szCs w:val="28"/>
              </w:rPr>
              <w:t>(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="001A363C">
              <w:rPr>
                <w:rFonts w:ascii="PT Astra Serif" w:hAnsi="PT Astra Serif"/>
                <w:sz w:val="28"/>
                <w:szCs w:val="28"/>
              </w:rPr>
              <w:t>%)</w:t>
            </w:r>
          </w:p>
          <w:p w:rsidR="00A118F8" w:rsidRPr="0081299D" w:rsidRDefault="00A118F8" w:rsidP="005F1D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43791" w:rsidRDefault="00343791" w:rsidP="0034379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118F8" w:rsidRPr="00110FD4" w:rsidRDefault="00A118F8" w:rsidP="0034379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43791" w:rsidRPr="00D93DE5" w:rsidRDefault="00343791" w:rsidP="0034379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43791" w:rsidRDefault="00050C70" w:rsidP="0034379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 wp14:anchorId="1E89EA32" wp14:editId="2BEA5163">
            <wp:extent cx="6734175" cy="3390900"/>
            <wp:effectExtent l="0" t="0" r="0" b="0"/>
            <wp:docPr id="4" name="Диаграмма 4" descr="Результаты рассмотрения обращений граждан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3791" w:rsidRDefault="00343791" w:rsidP="00A118F8">
      <w:pPr>
        <w:keepNext/>
        <w:spacing w:after="0" w:line="240" w:lineRule="auto"/>
      </w:pPr>
    </w:p>
    <w:p w:rsidR="00A118F8" w:rsidRDefault="00A118F8" w:rsidP="00A118F8">
      <w:pPr>
        <w:keepNext/>
        <w:spacing w:after="0" w:line="240" w:lineRule="auto"/>
      </w:pPr>
    </w:p>
    <w:p w:rsidR="00A118F8" w:rsidRDefault="00A118F8" w:rsidP="00A118F8">
      <w:pPr>
        <w:keepNext/>
        <w:spacing w:after="0" w:line="240" w:lineRule="auto"/>
      </w:pPr>
    </w:p>
    <w:p w:rsidR="00A118F8" w:rsidRDefault="00A118F8" w:rsidP="00A118F8">
      <w:pPr>
        <w:keepNext/>
        <w:spacing w:after="0" w:line="240" w:lineRule="auto"/>
      </w:pPr>
    </w:p>
    <w:p w:rsidR="00A118F8" w:rsidRDefault="00A118F8" w:rsidP="00A118F8">
      <w:pPr>
        <w:keepNext/>
        <w:spacing w:after="0" w:line="240" w:lineRule="auto"/>
      </w:pPr>
    </w:p>
    <w:p w:rsidR="00920CCE" w:rsidRDefault="00920CCE" w:rsidP="00A118F8">
      <w:pPr>
        <w:pStyle w:val="a8"/>
        <w:shd w:val="clear" w:color="auto" w:fill="FFFFFF"/>
        <w:spacing w:before="0" w:beforeAutospacing="0" w:after="450" w:afterAutospacing="0"/>
        <w:rPr>
          <w:rFonts w:ascii="PT Astra Serif" w:hAnsi="PT Astra Serif"/>
          <w:sz w:val="28"/>
          <w:szCs w:val="28"/>
        </w:rPr>
      </w:pPr>
    </w:p>
    <w:p w:rsidR="00A1101E" w:rsidRPr="00A118F8" w:rsidRDefault="00A1101E" w:rsidP="00A118F8">
      <w:pPr>
        <w:pStyle w:val="a8"/>
        <w:shd w:val="clear" w:color="auto" w:fill="FFFFFF"/>
        <w:spacing w:before="0" w:beforeAutospacing="0" w:after="450" w:afterAutospacing="0"/>
        <w:rPr>
          <w:rFonts w:ascii="PT Astra Serif" w:hAnsi="PT Astra Serif"/>
          <w:sz w:val="28"/>
          <w:szCs w:val="28"/>
        </w:rPr>
      </w:pPr>
    </w:p>
    <w:p w:rsidR="00A118F8" w:rsidRPr="00A118F8" w:rsidRDefault="00A118F8" w:rsidP="00A118F8">
      <w:pPr>
        <w:pStyle w:val="a8"/>
        <w:shd w:val="clear" w:color="auto" w:fill="FFFFFF"/>
        <w:spacing w:before="0" w:beforeAutospacing="0" w:after="450" w:afterAutospacing="0"/>
        <w:jc w:val="center"/>
        <w:rPr>
          <w:rFonts w:ascii="PT Astra Serif" w:hAnsi="PT Astra Serif"/>
          <w:sz w:val="28"/>
          <w:szCs w:val="28"/>
        </w:rPr>
      </w:pPr>
      <w:r w:rsidRPr="004E1BD7">
        <w:rPr>
          <w:rStyle w:val="a9"/>
          <w:color w:val="333333"/>
          <w:sz w:val="28"/>
          <w:szCs w:val="28"/>
        </w:rPr>
        <w:lastRenderedPageBreak/>
        <w:t>Распределение нагрузки структурных подразделений Министерства семейной,</w:t>
      </w:r>
      <w:r>
        <w:rPr>
          <w:rStyle w:val="a9"/>
          <w:color w:val="333333"/>
          <w:sz w:val="28"/>
          <w:szCs w:val="28"/>
        </w:rPr>
        <w:t xml:space="preserve"> </w:t>
      </w:r>
      <w:r w:rsidRPr="004E1BD7">
        <w:rPr>
          <w:rStyle w:val="a9"/>
          <w:color w:val="333333"/>
          <w:sz w:val="28"/>
          <w:szCs w:val="28"/>
        </w:rPr>
        <w:t>демографической политики и социального благополучия Ульяновской</w:t>
      </w:r>
      <w:r>
        <w:rPr>
          <w:rStyle w:val="a9"/>
          <w:color w:val="333333"/>
          <w:sz w:val="28"/>
          <w:szCs w:val="28"/>
        </w:rPr>
        <w:t xml:space="preserve"> </w:t>
      </w:r>
      <w:r w:rsidRPr="004E1BD7">
        <w:rPr>
          <w:rStyle w:val="a9"/>
          <w:color w:val="333333"/>
          <w:sz w:val="28"/>
          <w:szCs w:val="28"/>
        </w:rPr>
        <w:t>области  по рассмотрению обращений граждан</w:t>
      </w:r>
    </w:p>
    <w:p w:rsidR="00A118F8" w:rsidRPr="004E1BD7" w:rsidRDefault="00A118F8" w:rsidP="00A118F8">
      <w:pPr>
        <w:pStyle w:val="a8"/>
        <w:shd w:val="clear" w:color="auto" w:fill="FFFFFF"/>
        <w:spacing w:before="0" w:beforeAutospacing="0" w:after="4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период с </w:t>
      </w:r>
      <w:r w:rsidRPr="004E1BD7">
        <w:rPr>
          <w:color w:val="333333"/>
          <w:sz w:val="28"/>
          <w:szCs w:val="28"/>
        </w:rPr>
        <w:t xml:space="preserve"> </w:t>
      </w:r>
      <w:r w:rsidR="001A363C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</w:t>
      </w:r>
      <w:r w:rsidR="00A1101E">
        <w:rPr>
          <w:color w:val="333333"/>
          <w:sz w:val="28"/>
          <w:szCs w:val="28"/>
        </w:rPr>
        <w:t xml:space="preserve">июля  </w:t>
      </w:r>
      <w:r>
        <w:rPr>
          <w:color w:val="333333"/>
          <w:sz w:val="28"/>
          <w:szCs w:val="28"/>
        </w:rPr>
        <w:t>2021</w:t>
      </w:r>
      <w:r w:rsidR="00E07A3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года  </w:t>
      </w:r>
      <w:r w:rsidRPr="004E1BD7">
        <w:rPr>
          <w:color w:val="333333"/>
          <w:sz w:val="28"/>
          <w:szCs w:val="28"/>
        </w:rPr>
        <w:t xml:space="preserve"> по </w:t>
      </w:r>
      <w:r w:rsidR="00E07A36">
        <w:rPr>
          <w:color w:val="333333"/>
          <w:sz w:val="28"/>
          <w:szCs w:val="28"/>
        </w:rPr>
        <w:t xml:space="preserve"> </w:t>
      </w:r>
      <w:r w:rsidRPr="004E1BD7">
        <w:rPr>
          <w:color w:val="333333"/>
          <w:sz w:val="28"/>
          <w:szCs w:val="28"/>
        </w:rPr>
        <w:t>3</w:t>
      </w:r>
      <w:r w:rsidR="001A363C">
        <w:rPr>
          <w:color w:val="333333"/>
          <w:sz w:val="28"/>
          <w:szCs w:val="28"/>
        </w:rPr>
        <w:t>0</w:t>
      </w:r>
      <w:r w:rsidRPr="004E1BD7">
        <w:rPr>
          <w:color w:val="333333"/>
          <w:sz w:val="28"/>
          <w:szCs w:val="28"/>
        </w:rPr>
        <w:t xml:space="preserve"> </w:t>
      </w:r>
      <w:r w:rsidR="00A1101E">
        <w:rPr>
          <w:color w:val="333333"/>
          <w:sz w:val="28"/>
          <w:szCs w:val="28"/>
        </w:rPr>
        <w:t xml:space="preserve">сентября  </w:t>
      </w:r>
      <w:r>
        <w:rPr>
          <w:color w:val="333333"/>
          <w:sz w:val="28"/>
          <w:szCs w:val="28"/>
        </w:rPr>
        <w:t>2021</w:t>
      </w:r>
      <w:r w:rsidRPr="004E1BD7">
        <w:rPr>
          <w:color w:val="333333"/>
          <w:sz w:val="28"/>
          <w:szCs w:val="28"/>
        </w:rPr>
        <w:t xml:space="preserve"> года отмечается следующее распределение нагрузки структурных подразделений </w:t>
      </w:r>
      <w:r>
        <w:rPr>
          <w:color w:val="333333"/>
          <w:sz w:val="28"/>
          <w:szCs w:val="28"/>
        </w:rPr>
        <w:t xml:space="preserve"> </w:t>
      </w:r>
      <w:proofErr w:type="gramStart"/>
      <w:r w:rsidRPr="004E1BD7">
        <w:rPr>
          <w:color w:val="333333"/>
          <w:sz w:val="28"/>
          <w:szCs w:val="28"/>
        </w:rPr>
        <w:t>Министерства</w:t>
      </w:r>
      <w:proofErr w:type="gramEnd"/>
      <w:r w:rsidRPr="004E1BD7">
        <w:rPr>
          <w:color w:val="333333"/>
          <w:sz w:val="28"/>
          <w:szCs w:val="28"/>
        </w:rPr>
        <w:t xml:space="preserve"> по количеству поступивших на рассмотрение обращений граждан:</w:t>
      </w:r>
    </w:p>
    <w:tbl>
      <w:tblPr>
        <w:tblW w:w="5160" w:type="pct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4"/>
        <w:gridCol w:w="1938"/>
        <w:gridCol w:w="1828"/>
        <w:gridCol w:w="1865"/>
        <w:gridCol w:w="1385"/>
      </w:tblGrid>
      <w:tr w:rsidR="00A118F8" w:rsidRPr="00910DD6" w:rsidTr="005F1D6F">
        <w:trPr>
          <w:trHeight w:val="975"/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01E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01E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8F8" w:rsidRPr="00CF3230" w:rsidRDefault="00A1101E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118F8" w:rsidRPr="00925F96" w:rsidTr="001A363C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методологии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нормотворчества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01E" w:rsidP="00E07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01E" w:rsidP="00E07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01E" w:rsidP="00391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9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Default="0039105C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  <w:p w:rsidR="00A118F8" w:rsidRPr="00CF3230" w:rsidRDefault="00A118F8" w:rsidP="00391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118F8" w:rsidRPr="00925F96" w:rsidTr="001A363C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прав и интересов детей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01E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39105C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01E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CB2" w:rsidRDefault="00D07CB2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</w:p>
          <w:p w:rsidR="00A118F8" w:rsidRPr="00CF3230" w:rsidRDefault="001D4D5C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118F8" w:rsidRPr="00925F96" w:rsidTr="001A363C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семейно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благополучия и воспитания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01E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01E" w:rsidP="00391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9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01E" w:rsidP="00391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9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CB2" w:rsidRDefault="00D07CB2" w:rsidP="00D07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604</w:t>
            </w:r>
          </w:p>
          <w:p w:rsidR="00A118F8" w:rsidRPr="00CF3230" w:rsidRDefault="00A118F8" w:rsidP="00D07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118F8" w:rsidRPr="00925F96" w:rsidTr="001A363C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A11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старшего поколения, ветеранов и инвалидов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01E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01E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01E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CB2" w:rsidRDefault="00D07CB2" w:rsidP="00D07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</w:t>
            </w:r>
          </w:p>
          <w:p w:rsidR="00A118F8" w:rsidRPr="00CF3230" w:rsidRDefault="001D4D5C" w:rsidP="00D07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118F8" w:rsidRPr="00925F96" w:rsidTr="005F1D6F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01E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01E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39105C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CB2" w:rsidRDefault="00D07CB2" w:rsidP="00D07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118F8" w:rsidRPr="00CF3230" w:rsidRDefault="00D07CB2" w:rsidP="00D07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118F8" w:rsidRPr="00925F96" w:rsidTr="005F1D6F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 Министерства семейной, демографической политики и социального благополучия в городе Ульяновске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01E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01E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39105C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CB2" w:rsidRDefault="00D07CB2" w:rsidP="00D07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118F8" w:rsidRPr="00CF3230" w:rsidRDefault="00D07CB2" w:rsidP="00D07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118F8" w:rsidRPr="00925F96" w:rsidTr="005F1D6F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УОГКУСЗН «ЕОЦСВ»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01E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01E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39105C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CB2" w:rsidRDefault="00D07CB2" w:rsidP="00D07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  <w:p w:rsidR="00A118F8" w:rsidRPr="00CF3230" w:rsidRDefault="001D4D5C" w:rsidP="00D07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118F8" w:rsidRPr="00925F96" w:rsidTr="005F1D6F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УОГКУСЗН по Ульяновской области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01E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01E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A1101E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CB2" w:rsidRDefault="00D07CB2" w:rsidP="00D07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A118F8" w:rsidRPr="00CF3230" w:rsidRDefault="00D07CB2" w:rsidP="00D07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118F8" w:rsidRPr="00925F96" w:rsidTr="00A1101E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CF3230" w:rsidRDefault="00A118F8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39105C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39105C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CF3230" w:rsidRDefault="0039105C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Default="00D07CB2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</w:p>
          <w:p w:rsidR="00050C70" w:rsidRPr="00CF3230" w:rsidRDefault="00050C70" w:rsidP="005F1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</w:tbl>
    <w:p w:rsidR="00A118F8" w:rsidRPr="003143C4" w:rsidRDefault="00A118F8" w:rsidP="00A118F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29375" cy="8172450"/>
            <wp:effectExtent l="0" t="0" r="0" b="0"/>
            <wp:wrapSquare wrapText="bothSides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43791" w:rsidRPr="00936C21" w:rsidRDefault="00A118F8" w:rsidP="00343791">
      <w:pPr>
        <w:widowControl w:val="0"/>
        <w:tabs>
          <w:tab w:val="left" w:pos="900"/>
        </w:tabs>
        <w:spacing w:line="232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Обращения граждан поступают посредством сети Интернет, почтовой связью и  при личном обращении. </w:t>
      </w:r>
      <w:r>
        <w:rPr>
          <w:rFonts w:ascii="PT Astra Serif" w:hAnsi="PT Astra Serif" w:cs="Times New Roman"/>
          <w:sz w:val="28"/>
          <w:szCs w:val="28"/>
        </w:rPr>
        <w:t xml:space="preserve">Каждое обращение, поступившие в Министерство, рассмотрено руководством Министерства, по каждому обращению (жалобе) подготовлены и направлены ответы в установленный законом срок. </w:t>
      </w:r>
    </w:p>
    <w:p w:rsidR="008D49D0" w:rsidRDefault="008D49D0"/>
    <w:sectPr w:rsidR="008D49D0" w:rsidSect="00C57056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812"/>
    <w:multiLevelType w:val="hybridMultilevel"/>
    <w:tmpl w:val="76261820"/>
    <w:lvl w:ilvl="0" w:tplc="A9B29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A1C95"/>
    <w:multiLevelType w:val="hybridMultilevel"/>
    <w:tmpl w:val="72BC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5D3"/>
    <w:rsid w:val="00011F69"/>
    <w:rsid w:val="00047DC1"/>
    <w:rsid w:val="00050C70"/>
    <w:rsid w:val="000A45EF"/>
    <w:rsid w:val="000A55CD"/>
    <w:rsid w:val="000D3E25"/>
    <w:rsid w:val="000F5663"/>
    <w:rsid w:val="000F7F4B"/>
    <w:rsid w:val="0011710A"/>
    <w:rsid w:val="001927CE"/>
    <w:rsid w:val="001A363C"/>
    <w:rsid w:val="001D232B"/>
    <w:rsid w:val="001D4D5C"/>
    <w:rsid w:val="002740A0"/>
    <w:rsid w:val="002D19BD"/>
    <w:rsid w:val="00316501"/>
    <w:rsid w:val="00343791"/>
    <w:rsid w:val="0039105C"/>
    <w:rsid w:val="00435122"/>
    <w:rsid w:val="0044707A"/>
    <w:rsid w:val="0044777F"/>
    <w:rsid w:val="00453CCD"/>
    <w:rsid w:val="004906C5"/>
    <w:rsid w:val="004C17F1"/>
    <w:rsid w:val="004C1E1A"/>
    <w:rsid w:val="00510EE6"/>
    <w:rsid w:val="00516844"/>
    <w:rsid w:val="005467AE"/>
    <w:rsid w:val="00554846"/>
    <w:rsid w:val="00556B0A"/>
    <w:rsid w:val="00560A03"/>
    <w:rsid w:val="005A354D"/>
    <w:rsid w:val="005B75D3"/>
    <w:rsid w:val="005C22F2"/>
    <w:rsid w:val="005F33ED"/>
    <w:rsid w:val="006251E0"/>
    <w:rsid w:val="00632D6C"/>
    <w:rsid w:val="006636C3"/>
    <w:rsid w:val="006843CD"/>
    <w:rsid w:val="00762A4E"/>
    <w:rsid w:val="007A452C"/>
    <w:rsid w:val="00801421"/>
    <w:rsid w:val="0081366B"/>
    <w:rsid w:val="00852AEA"/>
    <w:rsid w:val="00891AD1"/>
    <w:rsid w:val="008A109D"/>
    <w:rsid w:val="008A1ED6"/>
    <w:rsid w:val="008C1598"/>
    <w:rsid w:val="008C55B1"/>
    <w:rsid w:val="008D0272"/>
    <w:rsid w:val="008D49D0"/>
    <w:rsid w:val="008D4CBE"/>
    <w:rsid w:val="008D4FD4"/>
    <w:rsid w:val="00920CCE"/>
    <w:rsid w:val="00921FA5"/>
    <w:rsid w:val="00922841"/>
    <w:rsid w:val="00931E8D"/>
    <w:rsid w:val="009C24F9"/>
    <w:rsid w:val="009F61B5"/>
    <w:rsid w:val="009F72D1"/>
    <w:rsid w:val="00A1101E"/>
    <w:rsid w:val="00A118F8"/>
    <w:rsid w:val="00A5467E"/>
    <w:rsid w:val="00AA75ED"/>
    <w:rsid w:val="00AC5202"/>
    <w:rsid w:val="00B07466"/>
    <w:rsid w:val="00B6015D"/>
    <w:rsid w:val="00B86A14"/>
    <w:rsid w:val="00B87DC2"/>
    <w:rsid w:val="00BF66E5"/>
    <w:rsid w:val="00C56528"/>
    <w:rsid w:val="00C57056"/>
    <w:rsid w:val="00CA445D"/>
    <w:rsid w:val="00D07CB2"/>
    <w:rsid w:val="00D43D53"/>
    <w:rsid w:val="00D51C45"/>
    <w:rsid w:val="00D620F8"/>
    <w:rsid w:val="00D64CB1"/>
    <w:rsid w:val="00D93CA6"/>
    <w:rsid w:val="00DD09CF"/>
    <w:rsid w:val="00E07A36"/>
    <w:rsid w:val="00E74E39"/>
    <w:rsid w:val="00E93AFA"/>
    <w:rsid w:val="00E941EE"/>
    <w:rsid w:val="00EA5DD3"/>
    <w:rsid w:val="00EC109F"/>
    <w:rsid w:val="00F2232E"/>
    <w:rsid w:val="00F970C1"/>
    <w:rsid w:val="00FC442D"/>
    <w:rsid w:val="00F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7A"/>
    <w:pPr>
      <w:ind w:left="720"/>
      <w:contextualSpacing/>
    </w:pPr>
  </w:style>
  <w:style w:type="table" w:styleId="a4">
    <w:name w:val="Table Grid"/>
    <w:basedOn w:val="a1"/>
    <w:uiPriority w:val="59"/>
    <w:rsid w:val="0044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07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A118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unhideWhenUsed/>
    <w:rsid w:val="00A1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118F8"/>
    <w:rPr>
      <w:b/>
      <w:bCs/>
    </w:rPr>
  </w:style>
  <w:style w:type="character" w:styleId="aa">
    <w:name w:val="Placeholder Text"/>
    <w:basedOn w:val="a0"/>
    <w:uiPriority w:val="99"/>
    <w:semiHidden/>
    <w:rsid w:val="00D93C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 поступивших обращений из разных инстанций ( в сравнении с аналогичным периодом 2020 года)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7169811320755"/>
          <c:y val="0.26708450917319548"/>
          <c:w val="0.83690372520561196"/>
          <c:h val="0.41425821772278482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1385</c:v>
                </c:pt>
                <c:pt idx="1">
                  <c:v>630</c:v>
                </c:pt>
                <c:pt idx="2">
                  <c:v>755</c:v>
                </c:pt>
                <c:pt idx="3">
                  <c:v>238</c:v>
                </c:pt>
                <c:pt idx="4">
                  <c:v>12</c:v>
                </c:pt>
                <c:pt idx="5">
                  <c:v>1</c:v>
                </c:pt>
                <c:pt idx="6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750272"/>
        <c:axId val="126764544"/>
      </c:line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marker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marker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1551</c:v>
                </c:pt>
                <c:pt idx="1">
                  <c:v>813</c:v>
                </c:pt>
                <c:pt idx="2">
                  <c:v>738</c:v>
                </c:pt>
                <c:pt idx="3">
                  <c:v>349</c:v>
                </c:pt>
                <c:pt idx="4">
                  <c:v>97</c:v>
                </c:pt>
                <c:pt idx="5">
                  <c:v>14</c:v>
                </c:pt>
                <c:pt idx="6">
                  <c:v>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107904"/>
        <c:axId val="133478656"/>
      </c:lineChart>
      <c:catAx>
        <c:axId val="123750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764544"/>
        <c:crosses val="autoZero"/>
        <c:auto val="1"/>
        <c:lblAlgn val="ctr"/>
        <c:lblOffset val="100"/>
        <c:noMultiLvlLbl val="0"/>
      </c:catAx>
      <c:valAx>
        <c:axId val="126764544"/>
        <c:scaling>
          <c:orientation val="minMax"/>
        </c:scaling>
        <c:delete val="0"/>
        <c:axPos val="l"/>
        <c:majorGridlines>
          <c:spPr>
            <a:ln cap="sq">
              <a:solidFill>
                <a:schemeClr val="tx1"/>
              </a:solidFill>
              <a:prstDash val="sysDot"/>
            </a:ln>
          </c:spPr>
        </c:majorGridlines>
        <c:numFmt formatCode="General" sourceLinked="1"/>
        <c:majorTickMark val="none"/>
        <c:minorTickMark val="none"/>
        <c:tickLblPos val="none"/>
        <c:crossAx val="123750272"/>
        <c:crosses val="autoZero"/>
        <c:crossBetween val="between"/>
      </c:valAx>
      <c:valAx>
        <c:axId val="133478656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one"/>
        <c:crossAx val="134107904"/>
        <c:crosses val="max"/>
        <c:crossBetween val="between"/>
      </c:valAx>
      <c:catAx>
        <c:axId val="134107904"/>
        <c:scaling>
          <c:orientation val="minMax"/>
        </c:scaling>
        <c:delete val="1"/>
        <c:axPos val="b"/>
        <c:majorTickMark val="out"/>
        <c:minorTickMark val="none"/>
        <c:tickLblPos val="none"/>
        <c:crossAx val="133478656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0"/>
  </c:chart>
  <c:spPr>
    <a:pattFill prst="pct20">
      <a:fgClr>
        <a:schemeClr val="accent1"/>
      </a:fgClr>
      <a:bgClr>
        <a:schemeClr val="bg1"/>
      </a:bgClr>
    </a:patt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</a:t>
            </a:r>
            <a:r>
              <a:rPr lang="ru-RU" baseline="0"/>
              <a:t> количества обращений поблокам вопросов за 2 квартал 2021 года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69807487323846E-2"/>
          <c:y val="0.18502084298286256"/>
          <c:w val="0.6584568739252421"/>
          <c:h val="0.74163062196411011"/>
        </c:manualLayout>
      </c:layout>
      <c:pie3DChart>
        <c:varyColors val="1"/>
        <c:ser>
          <c:idx val="0"/>
          <c:order val="0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explosion val="21"/>
          <c:dPt>
            <c:idx val="1"/>
            <c:bubble3D val="0"/>
            <c:explosion val="0"/>
          </c:dPt>
          <c:dPt>
            <c:idx val="4"/>
            <c:bubble3D val="0"/>
            <c:explosion val="44"/>
          </c:dPt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Лист1!$B$2:$B$12</c:f>
              <c:strCache>
                <c:ptCount val="8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вне компетенции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9"/>
                <c:pt idx="0">
                  <c:v>63</c:v>
                </c:pt>
                <c:pt idx="1">
                  <c:v>31</c:v>
                </c:pt>
                <c:pt idx="2">
                  <c:v>290</c:v>
                </c:pt>
                <c:pt idx="3">
                  <c:v>21</c:v>
                </c:pt>
                <c:pt idx="4">
                  <c:v>823</c:v>
                </c:pt>
                <c:pt idx="5">
                  <c:v>71</c:v>
                </c:pt>
                <c:pt idx="6">
                  <c:v>5</c:v>
                </c:pt>
                <c:pt idx="7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Лист1!$B$2:$B$12</c:f>
              <c:strCache>
                <c:ptCount val="8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вне компетенции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9"/>
                <c:pt idx="0">
                  <c:v>43</c:v>
                </c:pt>
                <c:pt idx="1">
                  <c:v>49</c:v>
                </c:pt>
                <c:pt idx="2">
                  <c:v>230</c:v>
                </c:pt>
                <c:pt idx="3">
                  <c:v>46</c:v>
                </c:pt>
                <c:pt idx="4">
                  <c:v>467</c:v>
                </c:pt>
                <c:pt idx="5">
                  <c:v>89</c:v>
                </c:pt>
                <c:pt idx="6">
                  <c:v>5</c:v>
                </c:pt>
                <c:pt idx="7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legendEntry>
        <c:idx val="8"/>
        <c:delete val="1"/>
      </c:legendEntry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483760532738456E-2"/>
          <c:y val="4.6671756939473473E-2"/>
          <c:w val="0.80621174807567009"/>
          <c:h val="0.7246628489620615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обращений за 3  квартал</c:v>
                </c:pt>
              </c:strCache>
            </c:strRef>
          </c:tx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289</c:v>
                </c:pt>
                <c:pt idx="1">
                  <c:v>613</c:v>
                </c:pt>
                <c:pt idx="2">
                  <c:v>2</c:v>
                </c:pt>
                <c:pt idx="3">
                  <c:v>20</c:v>
                </c:pt>
                <c:pt idx="4">
                  <c:v>20</c:v>
                </c:pt>
                <c:pt idx="5">
                  <c:v>67</c:v>
                </c:pt>
                <c:pt idx="6">
                  <c:v>32</c:v>
                </c:pt>
                <c:pt idx="7">
                  <c:v>17</c:v>
                </c:pt>
                <c:pt idx="8">
                  <c:v>9</c:v>
                </c:pt>
                <c:pt idx="9">
                  <c:v>13</c:v>
                </c:pt>
                <c:pt idx="10">
                  <c:v>12</c:v>
                </c:pt>
                <c:pt idx="11">
                  <c:v>8</c:v>
                </c:pt>
                <c:pt idx="12">
                  <c:v>9</c:v>
                </c:pt>
                <c:pt idx="13">
                  <c:v>11</c:v>
                </c:pt>
                <c:pt idx="14">
                  <c:v>10</c:v>
                </c:pt>
                <c:pt idx="15">
                  <c:v>9</c:v>
                </c:pt>
                <c:pt idx="16">
                  <c:v>4</c:v>
                </c:pt>
                <c:pt idx="17">
                  <c:v>10</c:v>
                </c:pt>
                <c:pt idx="18">
                  <c:v>4</c:v>
                </c:pt>
                <c:pt idx="19">
                  <c:v>11</c:v>
                </c:pt>
                <c:pt idx="20">
                  <c:v>7</c:v>
                </c:pt>
                <c:pt idx="21">
                  <c:v>16</c:v>
                </c:pt>
                <c:pt idx="22">
                  <c:v>25</c:v>
                </c:pt>
                <c:pt idx="23">
                  <c:v>19</c:v>
                </c:pt>
                <c:pt idx="24">
                  <c:v>19</c:v>
                </c:pt>
                <c:pt idx="25">
                  <c:v>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477184"/>
        <c:axId val="76478720"/>
      </c:line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населения на 10 000 населения</c:v>
                </c:pt>
              </c:strCache>
            </c:strRef>
          </c:tx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99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1">
                  <c:v>8.4</c:v>
                </c:pt>
                <c:pt idx="2">
                  <c:v>2</c:v>
                </c:pt>
                <c:pt idx="3">
                  <c:v>4.0999999999999996</c:v>
                </c:pt>
                <c:pt idx="4">
                  <c:v>4.5</c:v>
                </c:pt>
                <c:pt idx="5">
                  <c:v>46.4</c:v>
                </c:pt>
                <c:pt idx="6">
                  <c:v>5.6</c:v>
                </c:pt>
                <c:pt idx="7">
                  <c:v>7.4</c:v>
                </c:pt>
                <c:pt idx="8">
                  <c:v>0.7</c:v>
                </c:pt>
                <c:pt idx="9">
                  <c:v>5.3</c:v>
                </c:pt>
                <c:pt idx="10">
                  <c:v>4.8</c:v>
                </c:pt>
                <c:pt idx="11">
                  <c:v>3.4</c:v>
                </c:pt>
                <c:pt idx="12">
                  <c:v>3.4</c:v>
                </c:pt>
                <c:pt idx="13">
                  <c:v>5.6</c:v>
                </c:pt>
                <c:pt idx="14">
                  <c:v>10</c:v>
                </c:pt>
                <c:pt idx="15">
                  <c:v>6.2</c:v>
                </c:pt>
                <c:pt idx="16">
                  <c:v>3.5</c:v>
                </c:pt>
                <c:pt idx="17">
                  <c:v>2</c:v>
                </c:pt>
                <c:pt idx="18">
                  <c:v>3.7</c:v>
                </c:pt>
                <c:pt idx="19">
                  <c:v>3.5</c:v>
                </c:pt>
                <c:pt idx="20">
                  <c:v>1.5</c:v>
                </c:pt>
                <c:pt idx="21">
                  <c:v>3.1</c:v>
                </c:pt>
                <c:pt idx="22">
                  <c:v>4.4000000000000004</c:v>
                </c:pt>
                <c:pt idx="23">
                  <c:v>5.3</c:v>
                </c:pt>
                <c:pt idx="24">
                  <c:v>3.3</c:v>
                </c:pt>
                <c:pt idx="25">
                  <c:v>4.7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506624"/>
        <c:axId val="76505088"/>
      </c:lineChart>
      <c:catAx>
        <c:axId val="76477184"/>
        <c:scaling>
          <c:orientation val="minMax"/>
        </c:scaling>
        <c:delete val="0"/>
        <c:axPos val="b"/>
        <c:majorGridlines>
          <c:spPr>
            <a:ln cap="sq">
              <a:gradFill>
                <a:gsLst>
                  <a:gs pos="0">
                    <a:srgbClr val="00B0F0"/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majorTickMark val="out"/>
        <c:minorTickMark val="none"/>
        <c:tickLblPos val="nextTo"/>
        <c:spPr>
          <a:ln cmpd="sng">
            <a:solidFill>
              <a:schemeClr val="dk1">
                <a:tint val="75000"/>
                <a:shade val="95000"/>
                <a:satMod val="105000"/>
              </a:schemeClr>
            </a:solidFill>
          </a:ln>
        </c:spPr>
        <c:crossAx val="76478720"/>
        <c:crosses val="autoZero"/>
        <c:auto val="0"/>
        <c:lblAlgn val="ctr"/>
        <c:lblOffset val="100"/>
        <c:noMultiLvlLbl val="0"/>
      </c:catAx>
      <c:valAx>
        <c:axId val="76478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477184"/>
        <c:crosses val="autoZero"/>
        <c:crossBetween val="midCat"/>
      </c:valAx>
      <c:valAx>
        <c:axId val="7650508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76506624"/>
        <c:crosses val="max"/>
        <c:crossBetween val="between"/>
      </c:valAx>
      <c:catAx>
        <c:axId val="76506624"/>
        <c:scaling>
          <c:orientation val="minMax"/>
        </c:scaling>
        <c:delete val="1"/>
        <c:axPos val="b"/>
        <c:majorTickMark val="out"/>
        <c:minorTickMark val="none"/>
        <c:tickLblPos val="none"/>
        <c:crossAx val="76505088"/>
        <c:crosses val="autoZero"/>
        <c:auto val="1"/>
        <c:lblAlgn val="ctr"/>
        <c:lblOffset val="100"/>
        <c:noMultiLvlLbl val="0"/>
      </c:catAx>
      <c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10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legend>
      <c:legendPos val="r"/>
      <c:layout>
        <c:manualLayout>
          <c:xMode val="edge"/>
          <c:yMode val="edge"/>
          <c:x val="0.49006077606358139"/>
          <c:y val="4.9159945915851426E-2"/>
          <c:w val="0.31358578775128565"/>
          <c:h val="0.10131260040857613"/>
        </c:manualLayout>
      </c:layout>
      <c:overlay val="0"/>
    </c:legend>
    <c:plotVisOnly val="1"/>
    <c:dispBlanksAs val="zero"/>
    <c:showDLblsOverMax val="0"/>
  </c:chart>
  <c:spPr>
    <a:noFill/>
    <a:ln>
      <a:noFill/>
    </a:ln>
    <a:effectLst>
      <a:glow rad="1905000">
        <a:schemeClr val="accent1">
          <a:alpha val="0"/>
        </a:schemeClr>
      </a:glow>
    </a:effectLst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3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решено</c:v>
                </c:pt>
                <c:pt idx="1">
                  <c:v>отказано</c:v>
                </c:pt>
                <c:pt idx="2">
                  <c:v>разъяснено</c:v>
                </c:pt>
                <c:pt idx="3">
                  <c:v>в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297</c:v>
                </c:pt>
                <c:pt idx="1">
                  <c:v>317</c:v>
                </c:pt>
                <c:pt idx="2">
                  <c:v>771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нагрузки по подразделениям в процентном соотношение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 01.07.2021 г. по 30.09.2021 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560209676760723E-2"/>
          <c:y val="0.61570263522175461"/>
          <c:w val="0.83351041515850255"/>
          <c:h val="0.330527715704235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4"/>
            <c:bubble3D val="0"/>
            <c:explosion val="6"/>
          </c:dPt>
          <c:dPt>
            <c:idx val="6"/>
            <c:bubble3D val="0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dPt>
          <c:dPt>
            <c:idx val="7"/>
            <c:bubble3D val="0"/>
            <c:spPr>
              <a:solidFill>
                <a:srgbClr val="00B050"/>
              </a:solidFill>
            </c:spPr>
          </c:dPt>
          <c:dPt>
            <c:idx val="9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7.1111111111111111E-2"/>
                  <c:y val="-4.66200466200466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5185185185185179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1481481481481466E-2"/>
                  <c:y val="-3.72960372960372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123456790123457E-2"/>
                  <c:y val="-4.66200466200466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3580246913580247E-2"/>
                  <c:y val="-6.21600621600621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9753086419753087E-3"/>
                  <c:y val="-4.1958041958041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8.0987654320987659E-2"/>
                  <c:y val="-2.952602952602952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7.3086419753086426E-2"/>
                  <c:y val="-1.55400155400155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Департамент методологии и нормотворчества</c:v>
                </c:pt>
                <c:pt idx="1">
                  <c:v>Департамент защиты прав и интересов детей</c:v>
                </c:pt>
                <c:pt idx="2">
                  <c:v>Департамент семейного благополучия и воспитания</c:v>
                </c:pt>
                <c:pt idx="3">
                  <c:v>Департамент по делам старшего поколения, ветеранов и инвалидов</c:v>
                </c:pt>
                <c:pt idx="4">
                  <c:v>Департамент финансов</c:v>
                </c:pt>
                <c:pt idx="5">
                  <c:v>Департамент  Министерства семейной, демографической политики и социального благополучия в городе Ульяновске</c:v>
                </c:pt>
                <c:pt idx="6">
                  <c:v>УОГКУСЗН «ЕОЦСВ»</c:v>
                </c:pt>
                <c:pt idx="7">
                  <c:v>УОГКУСЗН по Ульяновской области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480</c:v>
                </c:pt>
                <c:pt idx="1">
                  <c:v>90</c:v>
                </c:pt>
                <c:pt idx="2">
                  <c:v>604</c:v>
                </c:pt>
                <c:pt idx="3">
                  <c:v>122</c:v>
                </c:pt>
                <c:pt idx="4">
                  <c:v>8</c:v>
                </c:pt>
                <c:pt idx="5">
                  <c:v>20</c:v>
                </c:pt>
                <c:pt idx="6">
                  <c:v>12</c:v>
                </c:pt>
                <c:pt idx="7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8.3175269757947048E-2"/>
          <c:y val="0.13505607253638749"/>
          <c:w val="0.85735316418780949"/>
          <c:h val="0.43560205323985002"/>
        </c:manualLayout>
      </c:layout>
      <c:overlay val="0"/>
      <c:txPr>
        <a:bodyPr/>
        <a:lstStyle/>
        <a:p>
          <a:pPr>
            <a:defRPr sz="12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1C47-BBA6-408A-8A2F-7C69D8C9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Захарова Ирина  Анатольевна</cp:lastModifiedBy>
  <cp:revision>4</cp:revision>
  <cp:lastPrinted>2021-11-17T04:39:00Z</cp:lastPrinted>
  <dcterms:created xsi:type="dcterms:W3CDTF">2021-11-17T04:28:00Z</dcterms:created>
  <dcterms:modified xsi:type="dcterms:W3CDTF">2021-11-17T05:49:00Z</dcterms:modified>
</cp:coreProperties>
</file>