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86" w:rsidRPr="00AD4886" w:rsidRDefault="00AD4886" w:rsidP="00AD4886">
      <w:pPr>
        <w:ind w:firstLine="709"/>
        <w:jc w:val="right"/>
        <w:rPr>
          <w:i/>
        </w:rPr>
      </w:pPr>
      <w:r w:rsidRPr="00AD4886">
        <w:rPr>
          <w:i/>
        </w:rPr>
        <w:t xml:space="preserve">Тезисы </w:t>
      </w:r>
    </w:p>
    <w:p w:rsidR="00AD4886" w:rsidRPr="00AD4886" w:rsidRDefault="00AD4886" w:rsidP="00AD4886">
      <w:pPr>
        <w:ind w:firstLine="709"/>
        <w:jc w:val="right"/>
        <w:rPr>
          <w:i/>
        </w:rPr>
      </w:pPr>
      <w:r w:rsidRPr="00AD4886">
        <w:rPr>
          <w:i/>
        </w:rPr>
        <w:t>П.С.</w:t>
      </w:r>
      <w:r>
        <w:rPr>
          <w:i/>
        </w:rPr>
        <w:t xml:space="preserve"> </w:t>
      </w:r>
      <w:proofErr w:type="spellStart"/>
      <w:r w:rsidRPr="00AD4886">
        <w:rPr>
          <w:i/>
        </w:rPr>
        <w:t>Дегтярь</w:t>
      </w:r>
      <w:proofErr w:type="spellEnd"/>
    </w:p>
    <w:p w:rsidR="00AD4886" w:rsidRPr="00AD4886" w:rsidRDefault="00AD4886" w:rsidP="00AD4886">
      <w:pPr>
        <w:ind w:firstLine="709"/>
        <w:jc w:val="right"/>
        <w:rPr>
          <w:b/>
          <w:i/>
        </w:rPr>
      </w:pPr>
    </w:p>
    <w:p w:rsidR="00B67649" w:rsidRPr="00533194" w:rsidRDefault="00533194" w:rsidP="0056782D">
      <w:pPr>
        <w:ind w:firstLine="709"/>
        <w:jc w:val="center"/>
        <w:rPr>
          <w:b/>
        </w:rPr>
      </w:pPr>
      <w:r w:rsidRPr="00533194">
        <w:rPr>
          <w:b/>
        </w:rPr>
        <w:t xml:space="preserve">ОБ УЧАСТИИ В ГОСУДАРСТВЕННОЙ ПРОГРАММЕ РОССИЙСКОЙ ФЕДЕРАЦИИ «ДОСТУПНАЯ СРЕДА»  </w:t>
      </w:r>
    </w:p>
    <w:p w:rsidR="00B67649" w:rsidRDefault="00B67649" w:rsidP="00B67649">
      <w:pPr>
        <w:ind w:firstLine="709"/>
        <w:jc w:val="center"/>
      </w:pPr>
    </w:p>
    <w:p w:rsidR="00326744" w:rsidRPr="00061E0D" w:rsidRDefault="00D62147" w:rsidP="00FB761E">
      <w:pPr>
        <w:spacing w:line="360" w:lineRule="auto"/>
        <w:ind w:firstLine="709"/>
        <w:jc w:val="both"/>
      </w:pPr>
      <w:r>
        <w:t xml:space="preserve">Министерство здравоохранения, семьи и социального благополучия </w:t>
      </w:r>
      <w:r w:rsidR="001E3B58" w:rsidRPr="00061E0D">
        <w:t xml:space="preserve"> Ульяновской области </w:t>
      </w:r>
      <w:r>
        <w:t xml:space="preserve">(далее – Министерство) </w:t>
      </w:r>
      <w:r w:rsidR="001E3B58" w:rsidRPr="00061E0D">
        <w:t>в соответствии с полномочиями координирует деятельность исполнительных органов</w:t>
      </w:r>
      <w:r w:rsidR="006360A2" w:rsidRPr="00061E0D">
        <w:t xml:space="preserve"> государственной </w:t>
      </w:r>
      <w:r w:rsidR="001E3B58" w:rsidRPr="00061E0D">
        <w:t xml:space="preserve"> власти</w:t>
      </w:r>
      <w:r w:rsidR="00FB761E">
        <w:t xml:space="preserve"> и органов местного самоуправления муниципальных образований </w:t>
      </w:r>
      <w:r w:rsidR="00FB761E" w:rsidRPr="00061E0D">
        <w:t>Ульяновской области</w:t>
      </w:r>
      <w:r w:rsidR="00FB761E">
        <w:t xml:space="preserve"> по созданию доступной среды жизнедеятельности для инвалидов на территории Ульяновской области. </w:t>
      </w:r>
      <w:r w:rsidR="001E3B58" w:rsidRPr="00061E0D">
        <w:t xml:space="preserve"> </w:t>
      </w:r>
    </w:p>
    <w:p w:rsidR="00273E68" w:rsidRDefault="00F55B0C" w:rsidP="00CB449A">
      <w:pPr>
        <w:spacing w:line="360" w:lineRule="auto"/>
        <w:ind w:firstLine="709"/>
        <w:jc w:val="both"/>
        <w:rPr>
          <w:rFonts w:cs="Calibri"/>
        </w:rPr>
      </w:pPr>
      <w:r w:rsidRPr="00061E0D">
        <w:t xml:space="preserve">Уже четвёртый год, начиная с 2013 года, Ульяновская область принимает участие в </w:t>
      </w:r>
      <w:r w:rsidRPr="00061E0D">
        <w:rPr>
          <w:b/>
        </w:rPr>
        <w:t xml:space="preserve">государственной программе </w:t>
      </w:r>
      <w:r w:rsidR="00FB761E">
        <w:rPr>
          <w:b/>
        </w:rPr>
        <w:t xml:space="preserve">Российской Федерации </w:t>
      </w:r>
      <w:r w:rsidRPr="00061E0D">
        <w:rPr>
          <w:b/>
        </w:rPr>
        <w:t>«Доступная среда»</w:t>
      </w:r>
      <w:r w:rsidRPr="00061E0D">
        <w:t xml:space="preserve"> на условиях </w:t>
      </w:r>
      <w:proofErr w:type="spellStart"/>
      <w:r w:rsidRPr="00061E0D">
        <w:t>софинансирования</w:t>
      </w:r>
      <w:proofErr w:type="spellEnd"/>
      <w:r w:rsidRPr="00061E0D">
        <w:t xml:space="preserve"> из средств федерального бюджета расходов на мероприятия по обеспечению доступности объектов и услуг в приоритетных сферах жизнедеятельности инвалидов и других маломобильных групп населения. </w:t>
      </w:r>
      <w:r w:rsidRPr="00061E0D">
        <w:rPr>
          <w:rFonts w:cs="Calibri"/>
        </w:rPr>
        <w:t xml:space="preserve">В рамках программы Ульяновской области </w:t>
      </w:r>
      <w:r w:rsidR="00152FCF">
        <w:rPr>
          <w:rFonts w:cs="Calibri"/>
        </w:rPr>
        <w:t xml:space="preserve">«Доступная среда» </w:t>
      </w:r>
      <w:r w:rsidRPr="00061E0D">
        <w:rPr>
          <w:rFonts w:cs="Calibri"/>
        </w:rPr>
        <w:t>в 2013 – 2015 годах средствами доступности оборудовано всего 10</w:t>
      </w:r>
      <w:r w:rsidR="00590312" w:rsidRPr="00061E0D">
        <w:rPr>
          <w:rFonts w:cs="Calibri"/>
        </w:rPr>
        <w:t>2</w:t>
      </w:r>
      <w:r w:rsidRPr="00061E0D">
        <w:rPr>
          <w:rFonts w:cs="Calibri"/>
        </w:rPr>
        <w:t xml:space="preserve"> учреждени</w:t>
      </w:r>
      <w:r w:rsidR="00590312" w:rsidRPr="00061E0D">
        <w:rPr>
          <w:rFonts w:cs="Calibri"/>
        </w:rPr>
        <w:t>я</w:t>
      </w:r>
      <w:r w:rsidRPr="00061E0D">
        <w:rPr>
          <w:rFonts w:cs="Calibri"/>
        </w:rPr>
        <w:t xml:space="preserve">. </w:t>
      </w:r>
      <w:r w:rsidRPr="00273E68">
        <w:rPr>
          <w:rFonts w:cs="Calibri"/>
          <w:i/>
        </w:rPr>
        <w:t>Из них</w:t>
      </w:r>
      <w:r w:rsidR="00273E68" w:rsidRPr="00273E68">
        <w:rPr>
          <w:rFonts w:cs="Calibri"/>
          <w:i/>
        </w:rPr>
        <w:t>:</w:t>
      </w:r>
    </w:p>
    <w:p w:rsidR="00273E68" w:rsidRDefault="00F55B0C" w:rsidP="00CB449A">
      <w:pPr>
        <w:spacing w:line="360" w:lineRule="auto"/>
        <w:ind w:firstLine="709"/>
        <w:jc w:val="both"/>
        <w:rPr>
          <w:rFonts w:cs="Calibri"/>
        </w:rPr>
      </w:pPr>
      <w:r w:rsidRPr="00061E0D">
        <w:rPr>
          <w:rFonts w:cs="Calibri"/>
        </w:rPr>
        <w:t xml:space="preserve"> 18 объектов  социальной защиты, </w:t>
      </w:r>
    </w:p>
    <w:p w:rsidR="00273E68" w:rsidRDefault="00F55B0C" w:rsidP="00CB449A">
      <w:pPr>
        <w:spacing w:line="360" w:lineRule="auto"/>
        <w:ind w:firstLine="709"/>
        <w:jc w:val="both"/>
        <w:rPr>
          <w:rFonts w:cs="Calibri"/>
        </w:rPr>
      </w:pPr>
      <w:r w:rsidRPr="00061E0D">
        <w:rPr>
          <w:rFonts w:cs="Calibri"/>
        </w:rPr>
        <w:t xml:space="preserve">20 объектов  здравоохранения, </w:t>
      </w:r>
    </w:p>
    <w:p w:rsidR="00273E68" w:rsidRDefault="00F55B0C" w:rsidP="00CB449A">
      <w:pPr>
        <w:spacing w:line="360" w:lineRule="auto"/>
        <w:ind w:firstLine="709"/>
        <w:jc w:val="both"/>
        <w:rPr>
          <w:rFonts w:cs="Calibri"/>
        </w:rPr>
      </w:pPr>
      <w:r w:rsidRPr="00061E0D">
        <w:rPr>
          <w:rFonts w:cs="Calibri"/>
        </w:rPr>
        <w:t xml:space="preserve">22 </w:t>
      </w:r>
      <w:r w:rsidR="00273E68">
        <w:rPr>
          <w:rFonts w:cs="Calibri"/>
        </w:rPr>
        <w:t xml:space="preserve">объекта </w:t>
      </w:r>
      <w:r w:rsidRPr="00061E0D">
        <w:rPr>
          <w:rFonts w:cs="Calibri"/>
        </w:rPr>
        <w:t xml:space="preserve"> образования, </w:t>
      </w:r>
    </w:p>
    <w:p w:rsidR="00273E68" w:rsidRDefault="00F55B0C" w:rsidP="00CB449A">
      <w:pPr>
        <w:spacing w:line="360" w:lineRule="auto"/>
        <w:ind w:firstLine="709"/>
        <w:jc w:val="both"/>
        <w:rPr>
          <w:rFonts w:cs="Calibri"/>
        </w:rPr>
      </w:pPr>
      <w:r w:rsidRPr="00061E0D">
        <w:rPr>
          <w:rFonts w:cs="Calibri"/>
        </w:rPr>
        <w:t>34</w:t>
      </w:r>
      <w:r w:rsidR="00273E68">
        <w:rPr>
          <w:rFonts w:cs="Calibri"/>
        </w:rPr>
        <w:t xml:space="preserve"> объекта </w:t>
      </w:r>
      <w:r w:rsidRPr="00061E0D">
        <w:rPr>
          <w:rFonts w:cs="Calibri"/>
        </w:rPr>
        <w:t xml:space="preserve"> культуры,</w:t>
      </w:r>
    </w:p>
    <w:p w:rsidR="00273E68" w:rsidRDefault="00F55B0C" w:rsidP="00CB449A">
      <w:pPr>
        <w:spacing w:line="360" w:lineRule="auto"/>
        <w:ind w:firstLine="709"/>
        <w:jc w:val="both"/>
        <w:rPr>
          <w:rFonts w:cs="Calibri"/>
        </w:rPr>
      </w:pPr>
      <w:r w:rsidRPr="00061E0D">
        <w:rPr>
          <w:rFonts w:cs="Calibri"/>
        </w:rPr>
        <w:t xml:space="preserve"> 6 </w:t>
      </w:r>
      <w:r w:rsidR="00273E68">
        <w:rPr>
          <w:rFonts w:cs="Calibri"/>
        </w:rPr>
        <w:t>объектов</w:t>
      </w:r>
      <w:r w:rsidRPr="00061E0D">
        <w:rPr>
          <w:rFonts w:cs="Calibri"/>
        </w:rPr>
        <w:t xml:space="preserve"> спорта</w:t>
      </w:r>
      <w:r w:rsidR="00590312" w:rsidRPr="00061E0D">
        <w:rPr>
          <w:rFonts w:cs="Calibri"/>
        </w:rPr>
        <w:t xml:space="preserve">, </w:t>
      </w:r>
    </w:p>
    <w:p w:rsidR="00273E68" w:rsidRDefault="00590312" w:rsidP="00CB449A">
      <w:pPr>
        <w:spacing w:line="360" w:lineRule="auto"/>
        <w:ind w:firstLine="709"/>
        <w:jc w:val="both"/>
        <w:rPr>
          <w:rFonts w:cs="Calibri"/>
        </w:rPr>
      </w:pPr>
      <w:r w:rsidRPr="00061E0D">
        <w:rPr>
          <w:rFonts w:cs="Calibri"/>
        </w:rPr>
        <w:t xml:space="preserve">2 </w:t>
      </w:r>
      <w:r w:rsidR="00273E68">
        <w:rPr>
          <w:rFonts w:cs="Calibri"/>
        </w:rPr>
        <w:t xml:space="preserve"> </w:t>
      </w:r>
      <w:r w:rsidRPr="00061E0D">
        <w:rPr>
          <w:rFonts w:cs="Calibri"/>
        </w:rPr>
        <w:t>объекта транспортной инфраструктуры</w:t>
      </w:r>
      <w:r w:rsidR="00F55B0C" w:rsidRPr="00061E0D">
        <w:rPr>
          <w:rFonts w:cs="Calibri"/>
        </w:rPr>
        <w:t xml:space="preserve">.  </w:t>
      </w:r>
    </w:p>
    <w:p w:rsidR="00F55B0C" w:rsidRDefault="00F55B0C" w:rsidP="00CB449A">
      <w:pPr>
        <w:spacing w:line="360" w:lineRule="auto"/>
        <w:ind w:firstLine="709"/>
        <w:jc w:val="both"/>
        <w:rPr>
          <w:rFonts w:eastAsia="Calibri"/>
        </w:rPr>
      </w:pPr>
      <w:r w:rsidRPr="00061E0D">
        <w:rPr>
          <w:rFonts w:cs="Calibri"/>
        </w:rPr>
        <w:t xml:space="preserve"> </w:t>
      </w:r>
      <w:r w:rsidRPr="00061E0D">
        <w:rPr>
          <w:rFonts w:eastAsia="Calibri"/>
        </w:rPr>
        <w:t>В 2016 году в рамках программы Ульяновской области оборуд</w:t>
      </w:r>
      <w:r w:rsidR="00D62147">
        <w:rPr>
          <w:rFonts w:eastAsia="Calibri"/>
        </w:rPr>
        <w:t>уется</w:t>
      </w:r>
      <w:r w:rsidRPr="00061E0D">
        <w:rPr>
          <w:rFonts w:eastAsia="Calibri"/>
        </w:rPr>
        <w:t xml:space="preserve"> ещ</w:t>
      </w:r>
      <w:r w:rsidR="00FB761E">
        <w:rPr>
          <w:rFonts w:eastAsia="Calibri"/>
        </w:rPr>
        <w:t>ё</w:t>
      </w:r>
      <w:r w:rsidRPr="00061E0D">
        <w:rPr>
          <w:rFonts w:eastAsia="Calibri"/>
        </w:rPr>
        <w:t xml:space="preserve"> 30 объектов социальной инфраструктуры. </w:t>
      </w:r>
    </w:p>
    <w:p w:rsidR="00C41EA0" w:rsidRDefault="00FB761E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Финансирование программы Ульяновской области </w:t>
      </w:r>
      <w:r w:rsidR="00C41EA0">
        <w:rPr>
          <w:rFonts w:eastAsia="Calibri"/>
        </w:rPr>
        <w:t>в 2013-2015 годах составило:</w:t>
      </w:r>
    </w:p>
    <w:p w:rsidR="00C41EA0" w:rsidRDefault="00C41EA0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ВСЕГО – 242,5 млн. рублей, в том числе:</w:t>
      </w:r>
    </w:p>
    <w:p w:rsidR="00C41EA0" w:rsidRDefault="00C41EA0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за счёт средств федерального бюджета – 124 млн. рублей,</w:t>
      </w:r>
    </w:p>
    <w:p w:rsidR="00C41EA0" w:rsidRDefault="00FB761E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за счёт средств областного бюджета Ульяновской области</w:t>
      </w:r>
      <w:r w:rsidR="00C5675B">
        <w:rPr>
          <w:rFonts w:eastAsia="Calibri"/>
        </w:rPr>
        <w:t xml:space="preserve"> </w:t>
      </w:r>
      <w:r w:rsidR="00C41EA0">
        <w:rPr>
          <w:rFonts w:eastAsia="Calibri"/>
        </w:rPr>
        <w:t xml:space="preserve">- </w:t>
      </w:r>
      <w:r>
        <w:rPr>
          <w:rFonts w:eastAsia="Calibri"/>
        </w:rPr>
        <w:t>76,5 млн. рублей</w:t>
      </w:r>
      <w:r w:rsidR="00C5675B">
        <w:rPr>
          <w:rFonts w:eastAsia="Calibri"/>
        </w:rPr>
        <w:t>,</w:t>
      </w:r>
    </w:p>
    <w:p w:rsidR="00C41EA0" w:rsidRDefault="00C41EA0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 счёт </w:t>
      </w:r>
      <w:r w:rsidR="00C5675B">
        <w:rPr>
          <w:rFonts w:eastAsia="Calibri"/>
        </w:rPr>
        <w:t>местных бюджетов муниципальных образования – 42 млн. рублей.</w:t>
      </w:r>
      <w:r w:rsidR="00152FCF">
        <w:rPr>
          <w:rFonts w:eastAsia="Calibri"/>
        </w:rPr>
        <w:t xml:space="preserve"> </w:t>
      </w:r>
    </w:p>
    <w:p w:rsidR="00273E68" w:rsidRDefault="00533194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Необходимо отметить, что в текущем году Министром труда и социальной защиты Российской Федерации </w:t>
      </w:r>
      <w:proofErr w:type="spellStart"/>
      <w:r>
        <w:rPr>
          <w:rFonts w:eastAsia="Calibri"/>
        </w:rPr>
        <w:t>М.А.Топилиным</w:t>
      </w:r>
      <w:proofErr w:type="spellEnd"/>
      <w:r>
        <w:rPr>
          <w:rFonts w:eastAsia="Calibri"/>
        </w:rPr>
        <w:t xml:space="preserve"> дано поручение об освоении субсидии, выделенной субъектам РФ на оборудование объектов средствами доступности, до 01.11.2016 года. Однако   по состоянию</w:t>
      </w:r>
      <w:r>
        <w:rPr>
          <w:rFonts w:eastAsia="Calibri"/>
        </w:rPr>
        <w:br/>
        <w:t xml:space="preserve"> на 05 декабря  </w:t>
      </w:r>
      <w:r w:rsidR="00C5675B">
        <w:rPr>
          <w:rFonts w:eastAsia="Calibri"/>
        </w:rPr>
        <w:t>из 23,5 млн. рублей освоено</w:t>
      </w:r>
      <w:r>
        <w:rPr>
          <w:rFonts w:eastAsia="Calibri"/>
        </w:rPr>
        <w:t xml:space="preserve"> всего </w:t>
      </w:r>
      <w:r w:rsidR="00C5675B">
        <w:rPr>
          <w:rFonts w:eastAsia="Calibri"/>
        </w:rPr>
        <w:t xml:space="preserve"> 14,9 млн. рублей средств субсидии, или 63,2%. Основными причинами не освоения выделенных из федерального бюджета средств является  несвоевременное проведение работ по реализации  мероприятий (отсутствие проектно-сметной документации и т.п.).  </w:t>
      </w:r>
      <w:r w:rsidR="00273E68">
        <w:rPr>
          <w:rFonts w:eastAsia="Calibri"/>
        </w:rPr>
        <w:t>Так по состоянию на 05.12.2016 средства субсидии не освоены:</w:t>
      </w:r>
    </w:p>
    <w:p w:rsidR="00273E68" w:rsidRDefault="00273E68" w:rsidP="00273E68">
      <w:pPr>
        <w:pStyle w:val="a4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06EFF">
        <w:rPr>
          <w:b/>
        </w:rPr>
        <w:t>в сфере здравоохранения</w:t>
      </w:r>
      <w:r>
        <w:t xml:space="preserve">: ГУЗ </w:t>
      </w:r>
      <w:proofErr w:type="spellStart"/>
      <w:r>
        <w:t>Кузоватовская</w:t>
      </w:r>
      <w:proofErr w:type="spellEnd"/>
      <w:r>
        <w:t xml:space="preserve"> районная больница и ГУЗ </w:t>
      </w:r>
      <w:proofErr w:type="spellStart"/>
      <w:r>
        <w:t>Сурская</w:t>
      </w:r>
      <w:proofErr w:type="spellEnd"/>
      <w:r>
        <w:t xml:space="preserve"> районная больница  не освоены средства федерального бюджета  в сумме 519 тыс. рублей (не завершены работы по оборудованию объектов); </w:t>
      </w:r>
    </w:p>
    <w:p w:rsidR="00273E68" w:rsidRDefault="00273E68" w:rsidP="00273E68">
      <w:pPr>
        <w:pStyle w:val="a4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  <w:rPr>
          <w:lang w:eastAsia="x-none"/>
        </w:rPr>
      </w:pPr>
      <w:r w:rsidRPr="00906EFF">
        <w:rPr>
          <w:b/>
        </w:rPr>
        <w:t xml:space="preserve">в </w:t>
      </w:r>
      <w:r w:rsidRPr="00906EFF">
        <w:rPr>
          <w:b/>
          <w:lang w:eastAsia="x-none"/>
        </w:rPr>
        <w:t>сфере образования</w:t>
      </w:r>
      <w:r>
        <w:rPr>
          <w:lang w:eastAsia="x-none"/>
        </w:rPr>
        <w:t xml:space="preserve">: </w:t>
      </w:r>
      <w:r w:rsidRPr="00620AC0">
        <w:rPr>
          <w:lang w:eastAsia="x-none"/>
        </w:rPr>
        <w:t xml:space="preserve"> </w:t>
      </w:r>
      <w:r>
        <w:rPr>
          <w:lang w:eastAsia="x-none"/>
        </w:rPr>
        <w:t xml:space="preserve"> не освоены средства федерального бюджета в сумме 2951 тыс. рублей следующими организациями:</w:t>
      </w:r>
    </w:p>
    <w:p w:rsidR="00273E68" w:rsidRPr="00715F52" w:rsidRDefault="00273E68" w:rsidP="00273E68">
      <w:pPr>
        <w:pStyle w:val="a4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6"/>
          <w:szCs w:val="26"/>
          <w:lang w:eastAsia="x-none"/>
        </w:rPr>
      </w:pPr>
      <w:r w:rsidRPr="00715F52">
        <w:rPr>
          <w:sz w:val="26"/>
          <w:szCs w:val="26"/>
          <w:lang w:eastAsia="x-none"/>
        </w:rPr>
        <w:t>ОГБОУ ДОД областной Дво</w:t>
      </w:r>
      <w:r w:rsidRPr="00715F52">
        <w:rPr>
          <w:sz w:val="26"/>
          <w:szCs w:val="26"/>
          <w:lang w:eastAsia="x-none"/>
        </w:rPr>
        <w:softHyphen/>
        <w:t>рец творчества детей и молодёжи, освоение средств федерального бюджета – 0 рублей, предусмотрено – 1813,28 тыс. рублей</w:t>
      </w:r>
      <w:r>
        <w:rPr>
          <w:sz w:val="26"/>
          <w:szCs w:val="26"/>
          <w:lang w:eastAsia="x-none"/>
        </w:rPr>
        <w:t>;</w:t>
      </w:r>
    </w:p>
    <w:p w:rsidR="00273E68" w:rsidRPr="00715F52" w:rsidRDefault="00273E68" w:rsidP="00273E68">
      <w:pPr>
        <w:pStyle w:val="a4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н</w:t>
      </w:r>
      <w:r w:rsidRPr="00715F52">
        <w:rPr>
          <w:sz w:val="26"/>
          <w:szCs w:val="26"/>
          <w:lang w:eastAsia="x-none"/>
        </w:rPr>
        <w:t>а 47% освоены средства федерального бюджета ОГКОК «Школа-интернат для обучающихся с ограниченными возможностями здоровья №18», освоено – 792 тыс. рублей, предусмотрено - 1813,28 тыс. рублей.</w:t>
      </w:r>
    </w:p>
    <w:p w:rsidR="00273E68" w:rsidRDefault="00273E68" w:rsidP="00273E68">
      <w:pPr>
        <w:pStyle w:val="a4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н</w:t>
      </w:r>
      <w:r w:rsidRPr="00715F52">
        <w:rPr>
          <w:sz w:val="26"/>
          <w:szCs w:val="26"/>
          <w:lang w:eastAsia="x-none"/>
        </w:rPr>
        <w:t xml:space="preserve">а 97% освоены средства федерального бюджета ОГКОУШ № 39 (не </w:t>
      </w:r>
      <w:proofErr w:type="gramStart"/>
      <w:r w:rsidRPr="00715F52">
        <w:rPr>
          <w:sz w:val="26"/>
          <w:szCs w:val="26"/>
          <w:lang w:eastAsia="x-none"/>
        </w:rPr>
        <w:t>оборудован</w:t>
      </w:r>
      <w:proofErr w:type="gramEnd"/>
      <w:r w:rsidRPr="00715F52">
        <w:rPr>
          <w:sz w:val="26"/>
          <w:szCs w:val="26"/>
          <w:lang w:eastAsia="x-none"/>
        </w:rPr>
        <w:t xml:space="preserve"> </w:t>
      </w:r>
      <w:proofErr w:type="spellStart"/>
      <w:r w:rsidRPr="00715F52">
        <w:rPr>
          <w:sz w:val="26"/>
          <w:szCs w:val="26"/>
          <w:lang w:eastAsia="x-none"/>
        </w:rPr>
        <w:t>мантессори</w:t>
      </w:r>
      <w:proofErr w:type="spellEnd"/>
      <w:r w:rsidRPr="00715F52">
        <w:rPr>
          <w:sz w:val="26"/>
          <w:szCs w:val="26"/>
          <w:lang w:eastAsia="x-none"/>
        </w:rPr>
        <w:t>-кабинет) и ОГКОУ «Измайловская школа-интернат для обучающихся с ограниченными возможностями здоровья» (не приобретено сенсорное оборудование)</w:t>
      </w:r>
      <w:r w:rsidR="00906EFF">
        <w:rPr>
          <w:sz w:val="26"/>
          <w:szCs w:val="26"/>
          <w:lang w:eastAsia="x-none"/>
        </w:rPr>
        <w:t>;</w:t>
      </w:r>
    </w:p>
    <w:p w:rsidR="00273E68" w:rsidRDefault="00273E68" w:rsidP="00906EFF">
      <w:pPr>
        <w:pStyle w:val="a4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6"/>
          <w:szCs w:val="26"/>
          <w:lang w:eastAsia="x-none"/>
        </w:rPr>
      </w:pPr>
      <w:r w:rsidRPr="00906EFF">
        <w:rPr>
          <w:b/>
          <w:sz w:val="26"/>
          <w:szCs w:val="26"/>
          <w:lang w:eastAsia="x-none"/>
        </w:rPr>
        <w:t>Городом Ульяновском</w:t>
      </w:r>
      <w:r>
        <w:rPr>
          <w:sz w:val="26"/>
          <w:szCs w:val="26"/>
          <w:lang w:eastAsia="x-none"/>
        </w:rPr>
        <w:t xml:space="preserve"> не освоены средства</w:t>
      </w:r>
      <w:r w:rsidR="00CD2843">
        <w:rPr>
          <w:sz w:val="26"/>
          <w:szCs w:val="26"/>
          <w:lang w:eastAsia="x-none"/>
        </w:rPr>
        <w:t xml:space="preserve"> в сумме 4349 тыс. рублей</w:t>
      </w:r>
      <w:r>
        <w:rPr>
          <w:sz w:val="26"/>
          <w:szCs w:val="26"/>
          <w:lang w:eastAsia="x-none"/>
        </w:rPr>
        <w:t xml:space="preserve">, выделенные на приобретение 5 специализированных автомобилей для службы </w:t>
      </w:r>
      <w:r>
        <w:rPr>
          <w:sz w:val="26"/>
          <w:szCs w:val="26"/>
          <w:lang w:eastAsia="x-none"/>
        </w:rPr>
        <w:lastRenderedPageBreak/>
        <w:t>«Социальное такси»</w:t>
      </w:r>
      <w:r w:rsidR="00906EFF">
        <w:rPr>
          <w:sz w:val="26"/>
          <w:szCs w:val="26"/>
          <w:lang w:eastAsia="x-none"/>
        </w:rPr>
        <w:t>;</w:t>
      </w:r>
    </w:p>
    <w:p w:rsidR="00906EFF" w:rsidRDefault="00906EFF" w:rsidP="00906EFF">
      <w:pPr>
        <w:pStyle w:val="a4"/>
        <w:widowControl w:val="0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eastAsia="Calibri"/>
        </w:rPr>
      </w:pPr>
      <w:proofErr w:type="gramStart"/>
      <w:r>
        <w:rPr>
          <w:sz w:val="26"/>
          <w:szCs w:val="26"/>
          <w:lang w:eastAsia="x-none"/>
        </w:rPr>
        <w:t>также не освоены средства федерального бюджета  Муниципальными образованиями «город Димитровград» (219 тыс. рублей), «Радищевский район» 154 тыс. рублей),   «</w:t>
      </w:r>
      <w:proofErr w:type="spellStart"/>
      <w:r>
        <w:rPr>
          <w:sz w:val="26"/>
          <w:szCs w:val="26"/>
          <w:lang w:eastAsia="x-none"/>
        </w:rPr>
        <w:t>Чердаклинский</w:t>
      </w:r>
      <w:proofErr w:type="spellEnd"/>
      <w:r>
        <w:rPr>
          <w:sz w:val="26"/>
          <w:szCs w:val="26"/>
          <w:lang w:eastAsia="x-none"/>
        </w:rPr>
        <w:t xml:space="preserve"> район» (168,4 тыс. рублей).</w:t>
      </w:r>
      <w:proofErr w:type="gramEnd"/>
      <w:r>
        <w:rPr>
          <w:sz w:val="26"/>
          <w:szCs w:val="26"/>
          <w:lang w:eastAsia="x-none"/>
        </w:rPr>
        <w:t xml:space="preserve"> По имеющейся информации в Радищевском и </w:t>
      </w:r>
      <w:proofErr w:type="spellStart"/>
      <w:r>
        <w:rPr>
          <w:sz w:val="26"/>
          <w:szCs w:val="26"/>
          <w:lang w:eastAsia="x-none"/>
        </w:rPr>
        <w:t>Чердаклинском</w:t>
      </w:r>
      <w:proofErr w:type="spellEnd"/>
      <w:r>
        <w:rPr>
          <w:sz w:val="26"/>
          <w:szCs w:val="26"/>
          <w:lang w:eastAsia="x-none"/>
        </w:rPr>
        <w:t xml:space="preserve"> </w:t>
      </w:r>
      <w:proofErr w:type="gramStart"/>
      <w:r>
        <w:rPr>
          <w:sz w:val="26"/>
          <w:szCs w:val="26"/>
          <w:lang w:eastAsia="x-none"/>
        </w:rPr>
        <w:t>районах</w:t>
      </w:r>
      <w:proofErr w:type="gramEnd"/>
      <w:r>
        <w:rPr>
          <w:sz w:val="26"/>
          <w:szCs w:val="26"/>
          <w:lang w:eastAsia="x-none"/>
        </w:rPr>
        <w:t xml:space="preserve"> работы на объектах планируется завершить до конца недели, тогда как в городе Димитровграде они до  сих пор не начаты.  </w:t>
      </w:r>
    </w:p>
    <w:p w:rsidR="00152FCF" w:rsidRDefault="00152FCF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настоящее время Министерством разработан проект программы Ульяновской области «Доступная среда» на 2017 – 2020 годы, который 0</w:t>
      </w:r>
      <w:r w:rsidR="00C45F15">
        <w:rPr>
          <w:rFonts w:eastAsia="Calibri"/>
        </w:rPr>
        <w:t>6</w:t>
      </w:r>
      <w:r>
        <w:rPr>
          <w:rFonts w:eastAsia="Calibri"/>
        </w:rPr>
        <w:t xml:space="preserve">.12.2016 передан для утверждения в Правительство Ульяновской области. </w:t>
      </w:r>
    </w:p>
    <w:p w:rsidR="00152FCF" w:rsidRPr="00152FCF" w:rsidRDefault="00152FCF" w:rsidP="00CB449A">
      <w:pPr>
        <w:spacing w:line="360" w:lineRule="auto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</w:rPr>
        <w:t xml:space="preserve">Планируется оборудовать средствами доступности в 2017-2020 годах 115 объектов, </w:t>
      </w:r>
      <w:r w:rsidRPr="00152FCF">
        <w:rPr>
          <w:rFonts w:eastAsia="Calibri"/>
          <w:i/>
          <w:sz w:val="24"/>
          <w:szCs w:val="24"/>
        </w:rPr>
        <w:t>из них:</w:t>
      </w:r>
    </w:p>
    <w:p w:rsidR="00152FCF" w:rsidRPr="00152FCF" w:rsidRDefault="00152FCF" w:rsidP="00CB449A">
      <w:pPr>
        <w:spacing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152FCF">
        <w:rPr>
          <w:rFonts w:eastAsia="Calibri"/>
          <w:i/>
          <w:sz w:val="24"/>
          <w:szCs w:val="24"/>
        </w:rPr>
        <w:t>в 2017 году – 33 (здравоохранение – 5, социальная защита – 2, культура – 18, образование – 6, спорт – 2),</w:t>
      </w:r>
    </w:p>
    <w:p w:rsidR="00152FCF" w:rsidRDefault="00152FCF" w:rsidP="00CB449A">
      <w:pPr>
        <w:spacing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152FCF">
        <w:rPr>
          <w:rFonts w:eastAsia="Calibri"/>
          <w:i/>
          <w:sz w:val="24"/>
          <w:szCs w:val="24"/>
        </w:rPr>
        <w:t xml:space="preserve">в 2018 году – 36 </w:t>
      </w:r>
      <w:r>
        <w:rPr>
          <w:rFonts w:eastAsia="Calibri"/>
          <w:i/>
          <w:sz w:val="24"/>
          <w:szCs w:val="24"/>
        </w:rPr>
        <w:t>(</w:t>
      </w:r>
      <w:r w:rsidRPr="00152FCF">
        <w:rPr>
          <w:rFonts w:eastAsia="Calibri"/>
          <w:i/>
          <w:sz w:val="24"/>
          <w:szCs w:val="24"/>
        </w:rPr>
        <w:t xml:space="preserve">здравоохранение – </w:t>
      </w:r>
      <w:r>
        <w:rPr>
          <w:rFonts w:eastAsia="Calibri"/>
          <w:i/>
          <w:sz w:val="24"/>
          <w:szCs w:val="24"/>
        </w:rPr>
        <w:t>4</w:t>
      </w:r>
      <w:r w:rsidRPr="00152FCF">
        <w:rPr>
          <w:rFonts w:eastAsia="Calibri"/>
          <w:i/>
          <w:sz w:val="24"/>
          <w:szCs w:val="24"/>
        </w:rPr>
        <w:t xml:space="preserve">, социальная защита – </w:t>
      </w:r>
      <w:r>
        <w:rPr>
          <w:rFonts w:eastAsia="Calibri"/>
          <w:i/>
          <w:sz w:val="24"/>
          <w:szCs w:val="24"/>
        </w:rPr>
        <w:t>7</w:t>
      </w:r>
      <w:r w:rsidRPr="00152FCF">
        <w:rPr>
          <w:rFonts w:eastAsia="Calibri"/>
          <w:i/>
          <w:sz w:val="24"/>
          <w:szCs w:val="24"/>
        </w:rPr>
        <w:t>, культура – 1</w:t>
      </w:r>
      <w:r>
        <w:rPr>
          <w:rFonts w:eastAsia="Calibri"/>
          <w:i/>
          <w:sz w:val="24"/>
          <w:szCs w:val="24"/>
        </w:rPr>
        <w:t>5</w:t>
      </w:r>
      <w:r w:rsidRPr="00152FCF">
        <w:rPr>
          <w:rFonts w:eastAsia="Calibri"/>
          <w:i/>
          <w:sz w:val="24"/>
          <w:szCs w:val="24"/>
        </w:rPr>
        <w:t>, образование –</w:t>
      </w:r>
      <w:r>
        <w:rPr>
          <w:rFonts w:eastAsia="Calibri"/>
          <w:i/>
          <w:sz w:val="24"/>
          <w:szCs w:val="24"/>
        </w:rPr>
        <w:t xml:space="preserve"> 6</w:t>
      </w:r>
      <w:r w:rsidRPr="00152FCF">
        <w:rPr>
          <w:rFonts w:eastAsia="Calibri"/>
          <w:i/>
          <w:sz w:val="24"/>
          <w:szCs w:val="24"/>
        </w:rPr>
        <w:t xml:space="preserve">, спорт – </w:t>
      </w:r>
      <w:r>
        <w:rPr>
          <w:rFonts w:eastAsia="Calibri"/>
          <w:i/>
          <w:sz w:val="24"/>
          <w:szCs w:val="24"/>
        </w:rPr>
        <w:t>4),</w:t>
      </w:r>
    </w:p>
    <w:p w:rsidR="00152FCF" w:rsidRDefault="00152FCF" w:rsidP="00CB449A">
      <w:pPr>
        <w:spacing w:line="360" w:lineRule="auto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 2019 – 28 (</w:t>
      </w:r>
      <w:r w:rsidRPr="00152FCF">
        <w:rPr>
          <w:rFonts w:eastAsia="Calibri"/>
          <w:i/>
          <w:sz w:val="24"/>
          <w:szCs w:val="24"/>
        </w:rPr>
        <w:t xml:space="preserve">здравоохранение – </w:t>
      </w:r>
      <w:r>
        <w:rPr>
          <w:rFonts w:eastAsia="Calibri"/>
          <w:i/>
          <w:sz w:val="24"/>
          <w:szCs w:val="24"/>
        </w:rPr>
        <w:t>4</w:t>
      </w:r>
      <w:r w:rsidRPr="00152FCF">
        <w:rPr>
          <w:rFonts w:eastAsia="Calibri"/>
          <w:i/>
          <w:sz w:val="24"/>
          <w:szCs w:val="24"/>
        </w:rPr>
        <w:t xml:space="preserve">, социальная защита – </w:t>
      </w:r>
      <w:r>
        <w:rPr>
          <w:rFonts w:eastAsia="Calibri"/>
          <w:i/>
          <w:sz w:val="24"/>
          <w:szCs w:val="24"/>
        </w:rPr>
        <w:t>4</w:t>
      </w:r>
      <w:r w:rsidRPr="00152FCF">
        <w:rPr>
          <w:rFonts w:eastAsia="Calibri"/>
          <w:i/>
          <w:sz w:val="24"/>
          <w:szCs w:val="24"/>
        </w:rPr>
        <w:t xml:space="preserve">, культура – </w:t>
      </w:r>
      <w:r>
        <w:rPr>
          <w:rFonts w:eastAsia="Calibri"/>
          <w:i/>
          <w:sz w:val="24"/>
          <w:szCs w:val="24"/>
        </w:rPr>
        <w:t>18</w:t>
      </w:r>
      <w:r w:rsidRPr="00152FCF">
        <w:rPr>
          <w:rFonts w:eastAsia="Calibri"/>
          <w:i/>
          <w:sz w:val="24"/>
          <w:szCs w:val="24"/>
        </w:rPr>
        <w:t xml:space="preserve">, образование – 6, спорт – </w:t>
      </w:r>
      <w:r>
        <w:rPr>
          <w:rFonts w:eastAsia="Calibri"/>
          <w:i/>
          <w:sz w:val="24"/>
          <w:szCs w:val="24"/>
        </w:rPr>
        <w:t>1),</w:t>
      </w:r>
    </w:p>
    <w:p w:rsidR="00152FCF" w:rsidRDefault="00152FCF" w:rsidP="00CB449A">
      <w:pPr>
        <w:spacing w:line="360" w:lineRule="auto"/>
        <w:ind w:firstLine="70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 2020 году – 18 (</w:t>
      </w:r>
      <w:r w:rsidRPr="00152FCF">
        <w:rPr>
          <w:rFonts w:eastAsia="Calibri"/>
          <w:i/>
          <w:sz w:val="24"/>
          <w:szCs w:val="24"/>
        </w:rPr>
        <w:t xml:space="preserve">здравоохранение – </w:t>
      </w:r>
      <w:r>
        <w:rPr>
          <w:rFonts w:eastAsia="Calibri"/>
          <w:i/>
          <w:sz w:val="24"/>
          <w:szCs w:val="24"/>
        </w:rPr>
        <w:t>1</w:t>
      </w:r>
      <w:r w:rsidRPr="00152FCF">
        <w:rPr>
          <w:rFonts w:eastAsia="Calibri"/>
          <w:i/>
          <w:sz w:val="24"/>
          <w:szCs w:val="24"/>
        </w:rPr>
        <w:t xml:space="preserve">, социальная защита – </w:t>
      </w:r>
      <w:r>
        <w:rPr>
          <w:rFonts w:eastAsia="Calibri"/>
          <w:i/>
          <w:sz w:val="24"/>
          <w:szCs w:val="24"/>
        </w:rPr>
        <w:t>2</w:t>
      </w:r>
      <w:r w:rsidRPr="00152FCF">
        <w:rPr>
          <w:rFonts w:eastAsia="Calibri"/>
          <w:i/>
          <w:sz w:val="24"/>
          <w:szCs w:val="24"/>
        </w:rPr>
        <w:t>, культура – 8, образование –</w:t>
      </w:r>
      <w:r>
        <w:rPr>
          <w:rFonts w:eastAsia="Calibri"/>
          <w:i/>
          <w:sz w:val="24"/>
          <w:szCs w:val="24"/>
        </w:rPr>
        <w:t>5</w:t>
      </w:r>
      <w:r w:rsidRPr="00152FCF">
        <w:rPr>
          <w:rFonts w:eastAsia="Calibri"/>
          <w:i/>
          <w:sz w:val="24"/>
          <w:szCs w:val="24"/>
        </w:rPr>
        <w:t xml:space="preserve">, спорт – </w:t>
      </w:r>
      <w:r>
        <w:rPr>
          <w:rFonts w:eastAsia="Calibri"/>
          <w:i/>
          <w:sz w:val="24"/>
          <w:szCs w:val="24"/>
        </w:rPr>
        <w:t>1).</w:t>
      </w:r>
    </w:p>
    <w:p w:rsidR="008F61BD" w:rsidRDefault="00533194" w:rsidP="00CB449A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В проекте программы  Ульяновской области представлены прогнозные  объёмы финансирования мероприятий</w:t>
      </w:r>
      <w:r w:rsidR="00B22C28">
        <w:rPr>
          <w:rFonts w:eastAsia="Calibri"/>
        </w:rPr>
        <w:t xml:space="preserve"> на 2017 – 2020 годы</w:t>
      </w:r>
      <w:r>
        <w:rPr>
          <w:rFonts w:eastAsia="Calibri"/>
        </w:rPr>
        <w:t>.  Минтруд</w:t>
      </w:r>
      <w:r w:rsidR="00B22C28">
        <w:rPr>
          <w:rFonts w:eastAsia="Calibri"/>
        </w:rPr>
        <w:t>ом</w:t>
      </w:r>
      <w:r>
        <w:rPr>
          <w:rFonts w:eastAsia="Calibri"/>
        </w:rPr>
        <w:t xml:space="preserve"> России </w:t>
      </w:r>
      <w:r w:rsidR="00B22C28">
        <w:rPr>
          <w:rFonts w:eastAsia="Calibri"/>
        </w:rPr>
        <w:t xml:space="preserve">в письме от 20.11.2016 представлен </w:t>
      </w:r>
      <w:r w:rsidR="001E6B5C">
        <w:rPr>
          <w:rFonts w:eastAsia="Calibri"/>
        </w:rPr>
        <w:t xml:space="preserve"> расчёт распределения субсидии из федерального бюджета в рамках государственной программы Российской Федерации «Доступная среда» на 2017 год. С учётом количества </w:t>
      </w:r>
      <w:r w:rsidR="001E6B5C" w:rsidRPr="00906EFF">
        <w:rPr>
          <w:rFonts w:eastAsia="Calibri"/>
          <w:b/>
        </w:rPr>
        <w:t xml:space="preserve">оборудуемых в 2017 году объектов </w:t>
      </w:r>
      <w:r w:rsidR="00C613A3" w:rsidRPr="00906EFF">
        <w:rPr>
          <w:rFonts w:eastAsia="Calibri"/>
          <w:b/>
        </w:rPr>
        <w:t>(27)</w:t>
      </w:r>
      <w:r w:rsidR="00C613A3">
        <w:rPr>
          <w:rFonts w:eastAsia="Calibri"/>
        </w:rPr>
        <w:t xml:space="preserve"> </w:t>
      </w:r>
      <w:r w:rsidR="00F676E8">
        <w:rPr>
          <w:rFonts w:eastAsia="Calibri"/>
        </w:rPr>
        <w:t xml:space="preserve">в сферах здравоохранения, социальной защиты, спорта, культуры </w:t>
      </w:r>
      <w:r w:rsidR="001E6B5C">
        <w:rPr>
          <w:rFonts w:eastAsia="Calibri"/>
        </w:rPr>
        <w:t xml:space="preserve">Ульяновской области предварительно выделено </w:t>
      </w:r>
      <w:r w:rsidR="001E6B5C" w:rsidRPr="00906EFF">
        <w:rPr>
          <w:rFonts w:eastAsia="Calibri"/>
          <w:b/>
        </w:rPr>
        <w:t>8569,6 тыс. рублей</w:t>
      </w:r>
      <w:r w:rsidR="00F676E8">
        <w:rPr>
          <w:rFonts w:eastAsia="Calibri"/>
        </w:rPr>
        <w:t xml:space="preserve"> </w:t>
      </w:r>
      <w:r w:rsidR="00F676E8" w:rsidRPr="00906EFF">
        <w:rPr>
          <w:rFonts w:eastAsia="Calibri"/>
          <w:i/>
        </w:rPr>
        <w:t xml:space="preserve">(в сфере образования субсидия </w:t>
      </w:r>
      <w:proofErr w:type="spellStart"/>
      <w:r w:rsidR="00F676E8" w:rsidRPr="00906EFF">
        <w:rPr>
          <w:rFonts w:eastAsia="Calibri"/>
          <w:i/>
        </w:rPr>
        <w:t>расчитывается</w:t>
      </w:r>
      <w:proofErr w:type="spellEnd"/>
      <w:r w:rsidR="00F676E8" w:rsidRPr="00906EFF">
        <w:rPr>
          <w:rFonts w:eastAsia="Calibri"/>
          <w:i/>
        </w:rPr>
        <w:t xml:space="preserve"> Министерством образования и науки Российской Федерации</w:t>
      </w:r>
      <w:r w:rsidR="008553EE" w:rsidRPr="00906EFF">
        <w:rPr>
          <w:rFonts w:eastAsia="Calibri"/>
          <w:i/>
        </w:rPr>
        <w:t xml:space="preserve">, на 2017 год </w:t>
      </w:r>
      <w:r w:rsidR="00C45F15" w:rsidRPr="00906EFF">
        <w:rPr>
          <w:rFonts w:eastAsia="Calibri"/>
          <w:i/>
        </w:rPr>
        <w:t xml:space="preserve">в Ульяновской области </w:t>
      </w:r>
      <w:r w:rsidR="008553EE" w:rsidRPr="00906EFF">
        <w:rPr>
          <w:rFonts w:eastAsia="Calibri"/>
          <w:i/>
        </w:rPr>
        <w:t xml:space="preserve">запланировано </w:t>
      </w:r>
      <w:r w:rsidR="00C45F15" w:rsidRPr="00906EFF">
        <w:rPr>
          <w:rFonts w:eastAsia="Calibri"/>
          <w:i/>
        </w:rPr>
        <w:t xml:space="preserve">оборудовать </w:t>
      </w:r>
      <w:r w:rsidR="008553EE" w:rsidRPr="00906EFF">
        <w:rPr>
          <w:rFonts w:eastAsia="Calibri"/>
          <w:i/>
        </w:rPr>
        <w:t>6 объектов образования</w:t>
      </w:r>
      <w:r w:rsidR="008553EE">
        <w:rPr>
          <w:rFonts w:eastAsia="Calibri"/>
        </w:rPr>
        <w:t>)</w:t>
      </w:r>
      <w:r w:rsidR="00F676E8">
        <w:rPr>
          <w:rFonts w:eastAsia="Calibri"/>
        </w:rPr>
        <w:t>.</w:t>
      </w:r>
      <w:r w:rsidR="00C613A3">
        <w:rPr>
          <w:rFonts w:eastAsia="Calibri"/>
        </w:rPr>
        <w:t xml:space="preserve"> На сегодняшний день распределение субсидии между субъектами РФ не утверждено нормативным правовым актом Российской Федерации.</w:t>
      </w:r>
    </w:p>
    <w:p w:rsidR="008F61BD" w:rsidRDefault="00C613A3" w:rsidP="00CB449A">
      <w:pPr>
        <w:spacing w:line="360" w:lineRule="auto"/>
        <w:ind w:firstLine="709"/>
        <w:jc w:val="both"/>
        <w:rPr>
          <w:rFonts w:eastAsia="Calibri"/>
        </w:rPr>
      </w:pPr>
      <w:r w:rsidRPr="00C613A3">
        <w:rPr>
          <w:rFonts w:eastAsia="Calibri"/>
        </w:rPr>
        <w:lastRenderedPageBreak/>
        <w:t>29 ноября 2016 года на рабочем совещании</w:t>
      </w:r>
      <w:r>
        <w:rPr>
          <w:rFonts w:eastAsia="Calibri"/>
        </w:rPr>
        <w:t xml:space="preserve">, организованном Министерством здравоохранения, семьи и социального благополучия Ульяновской области,  </w:t>
      </w:r>
      <w:r w:rsidR="00555321">
        <w:rPr>
          <w:rFonts w:eastAsia="Calibri"/>
        </w:rPr>
        <w:t xml:space="preserve">в присутствии председателей общественных организаций инвалидов </w:t>
      </w:r>
      <w:r>
        <w:rPr>
          <w:rFonts w:eastAsia="Calibri"/>
        </w:rPr>
        <w:t xml:space="preserve">обсуждено </w:t>
      </w:r>
      <w:r w:rsidR="00555321">
        <w:rPr>
          <w:rFonts w:eastAsia="Calibri"/>
        </w:rPr>
        <w:t>и согласовано</w:t>
      </w:r>
      <w:r>
        <w:rPr>
          <w:rFonts w:eastAsia="Calibri"/>
        </w:rPr>
        <w:t xml:space="preserve">  распределение выделенной Ульяновской области субсидии между участниками программы. </w:t>
      </w:r>
    </w:p>
    <w:p w:rsidR="00555321" w:rsidRPr="00C45F15" w:rsidRDefault="00555321" w:rsidP="00CB449A">
      <w:pPr>
        <w:spacing w:line="360" w:lineRule="auto"/>
        <w:ind w:firstLine="709"/>
        <w:jc w:val="both"/>
        <w:rPr>
          <w:rFonts w:eastAsia="Calibri"/>
          <w:i/>
        </w:rPr>
      </w:pPr>
      <w:r w:rsidRPr="00C45F15">
        <w:rPr>
          <w:rFonts w:eastAsia="Calibri"/>
          <w:i/>
        </w:rPr>
        <w:t xml:space="preserve">Предварительное распределение субсидии </w:t>
      </w:r>
      <w:r w:rsidR="00C45F15" w:rsidRPr="00C45F15">
        <w:rPr>
          <w:rFonts w:eastAsia="Calibri"/>
          <w:i/>
        </w:rPr>
        <w:t xml:space="preserve">на 2017 год </w:t>
      </w:r>
      <w:r w:rsidRPr="00C45F15">
        <w:rPr>
          <w:rFonts w:eastAsia="Calibri"/>
          <w:i/>
        </w:rPr>
        <w:t>следующее:</w:t>
      </w:r>
    </w:p>
    <w:tbl>
      <w:tblPr>
        <w:tblW w:w="9285" w:type="dxa"/>
        <w:jc w:val="center"/>
        <w:tblLook w:val="04A0" w:firstRow="1" w:lastRow="0" w:firstColumn="1" w:lastColumn="0" w:noHBand="0" w:noVBand="1"/>
      </w:tblPr>
      <w:tblGrid>
        <w:gridCol w:w="4360"/>
        <w:gridCol w:w="2799"/>
        <w:gridCol w:w="2126"/>
      </w:tblGrid>
      <w:tr w:rsidR="00555321" w:rsidRPr="005A51F9" w:rsidTr="00AD4886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321" w:rsidRPr="005A51F9" w:rsidRDefault="00555321" w:rsidP="00AD48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Средства федерального бюджета </w:t>
            </w:r>
            <w:r w:rsidRPr="005A51F9">
              <w:rPr>
                <w:b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21" w:rsidRDefault="00555321" w:rsidP="00AD48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 областного (муниципального) бюджета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56C9B">
            <w:pPr>
              <w:jc w:val="center"/>
              <w:rPr>
                <w:color w:val="000000"/>
                <w:sz w:val="22"/>
                <w:szCs w:val="22"/>
              </w:rPr>
            </w:pPr>
            <w:r w:rsidRPr="005A51F9">
              <w:rPr>
                <w:color w:val="000000"/>
                <w:sz w:val="22"/>
                <w:szCs w:val="22"/>
              </w:rPr>
              <w:t>Социальная защита  (2 объекта</w:t>
            </w:r>
            <w:r w:rsidR="003E7722">
              <w:rPr>
                <w:color w:val="000000"/>
                <w:sz w:val="22"/>
                <w:szCs w:val="22"/>
              </w:rPr>
              <w:t xml:space="preserve"> + </w:t>
            </w:r>
            <w:r w:rsidR="00D119E9">
              <w:rPr>
                <w:color w:val="000000"/>
                <w:sz w:val="22"/>
                <w:szCs w:val="22"/>
              </w:rPr>
              <w:t xml:space="preserve">обязательные </w:t>
            </w:r>
            <w:r w:rsidR="003E7722">
              <w:rPr>
                <w:color w:val="000000"/>
                <w:sz w:val="22"/>
                <w:szCs w:val="22"/>
              </w:rPr>
              <w:t>мероприятия</w:t>
            </w:r>
            <w:r w:rsidR="00656C9B">
              <w:rPr>
                <w:color w:val="000000"/>
                <w:sz w:val="22"/>
                <w:szCs w:val="22"/>
              </w:rPr>
              <w:t xml:space="preserve"> по программе</w:t>
            </w:r>
            <w:r w:rsidRPr="005A51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50273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Default="003E7722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5021,68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5A51F9">
              <w:rPr>
                <w:color w:val="000000"/>
                <w:sz w:val="22"/>
                <w:szCs w:val="22"/>
              </w:rPr>
              <w:t>Культура (6 объектов)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0273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9824BF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1302,5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5A51F9">
              <w:rPr>
                <w:color w:val="000000"/>
                <w:sz w:val="22"/>
                <w:szCs w:val="22"/>
              </w:rPr>
              <w:t>Здравоохранение (5 объектов)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CF4C5A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250273">
              <w:rPr>
                <w:color w:val="000000"/>
                <w:sz w:val="22"/>
                <w:szCs w:val="22"/>
              </w:rPr>
              <w:t>74,</w:t>
            </w:r>
            <w:r w:rsidR="00CF4C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4BF" w:rsidRPr="00250273" w:rsidRDefault="009824BF" w:rsidP="009824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2862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5A51F9">
              <w:rPr>
                <w:color w:val="000000"/>
                <w:sz w:val="22"/>
                <w:szCs w:val="22"/>
              </w:rPr>
              <w:t>Спорт (2 объекта)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818,4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9824BF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5A51F9">
              <w:rPr>
                <w:color w:val="000000"/>
                <w:sz w:val="22"/>
                <w:szCs w:val="22"/>
              </w:rPr>
              <w:t>г. Ульяновск (1 объект)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9824BF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1F9">
              <w:rPr>
                <w:color w:val="000000"/>
                <w:sz w:val="22"/>
                <w:szCs w:val="22"/>
              </w:rPr>
              <w:t>Вешкаймский</w:t>
            </w:r>
            <w:proofErr w:type="spellEnd"/>
            <w:r w:rsidRPr="005A51F9">
              <w:rPr>
                <w:color w:val="000000"/>
                <w:sz w:val="22"/>
                <w:szCs w:val="22"/>
              </w:rPr>
              <w:t xml:space="preserve"> район  (3 объекта)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9824BF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5A51F9">
              <w:rPr>
                <w:color w:val="000000"/>
                <w:sz w:val="22"/>
                <w:szCs w:val="22"/>
              </w:rPr>
              <w:t>. Димитровград (2 объекта)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671,8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C45F15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1F9">
              <w:rPr>
                <w:color w:val="000000"/>
                <w:sz w:val="22"/>
                <w:szCs w:val="22"/>
              </w:rPr>
              <w:t>Кузоватовский</w:t>
            </w:r>
            <w:proofErr w:type="spellEnd"/>
            <w:r w:rsidRPr="005A51F9">
              <w:rPr>
                <w:color w:val="000000"/>
                <w:sz w:val="22"/>
                <w:szCs w:val="22"/>
              </w:rPr>
              <w:t xml:space="preserve"> район (1 объект)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C45F15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55532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1F9">
              <w:rPr>
                <w:color w:val="000000"/>
                <w:sz w:val="22"/>
                <w:szCs w:val="22"/>
              </w:rPr>
              <w:t>Майнский</w:t>
            </w:r>
            <w:proofErr w:type="spellEnd"/>
            <w:r w:rsidRPr="005A51F9">
              <w:rPr>
                <w:color w:val="000000"/>
                <w:sz w:val="22"/>
                <w:szCs w:val="22"/>
              </w:rPr>
              <w:t xml:space="preserve"> район  (1 объект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A51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373,9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C45F15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1F9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Pr="005A51F9">
              <w:rPr>
                <w:color w:val="000000"/>
                <w:sz w:val="22"/>
                <w:szCs w:val="22"/>
              </w:rPr>
              <w:t xml:space="preserve"> район  (1 объект)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C45F15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1F9">
              <w:rPr>
                <w:color w:val="000000"/>
                <w:sz w:val="22"/>
                <w:szCs w:val="22"/>
              </w:rPr>
              <w:t>Новомалыклинский</w:t>
            </w:r>
            <w:proofErr w:type="spellEnd"/>
            <w:r w:rsidRPr="005A51F9">
              <w:rPr>
                <w:color w:val="000000"/>
                <w:sz w:val="22"/>
                <w:szCs w:val="22"/>
              </w:rPr>
              <w:t xml:space="preserve"> район  (1 объект)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119,4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C45F15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Сурский</w:t>
            </w:r>
            <w:proofErr w:type="spellEnd"/>
            <w:r w:rsidRPr="005A51F9">
              <w:rPr>
                <w:color w:val="000000"/>
                <w:sz w:val="22"/>
                <w:szCs w:val="22"/>
              </w:rPr>
              <w:t xml:space="preserve"> район  (1 объект)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C45F15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555321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21" w:rsidRPr="005A51F9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51F9">
              <w:rPr>
                <w:color w:val="000000"/>
                <w:sz w:val="22"/>
                <w:szCs w:val="22"/>
              </w:rPr>
              <w:t>Сенгилеевский</w:t>
            </w:r>
            <w:proofErr w:type="spellEnd"/>
            <w:r w:rsidRPr="005A51F9">
              <w:rPr>
                <w:color w:val="000000"/>
                <w:sz w:val="22"/>
                <w:szCs w:val="22"/>
              </w:rPr>
              <w:t xml:space="preserve"> район  (1 объект)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21" w:rsidRPr="00250273" w:rsidRDefault="00555321" w:rsidP="00627EB9">
            <w:pPr>
              <w:jc w:val="center"/>
              <w:rPr>
                <w:color w:val="000000"/>
                <w:sz w:val="22"/>
                <w:szCs w:val="22"/>
              </w:rPr>
            </w:pPr>
            <w:r w:rsidRPr="00250273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321" w:rsidRPr="00250273" w:rsidRDefault="00C45F15" w:rsidP="00627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CF4C5A" w:rsidRPr="00250273" w:rsidTr="003E772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5A" w:rsidRPr="00C45F15" w:rsidRDefault="00CF4C5A" w:rsidP="00627E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F15">
              <w:rPr>
                <w:b/>
                <w:color w:val="000000"/>
                <w:sz w:val="22"/>
                <w:szCs w:val="22"/>
              </w:rPr>
              <w:t>ИТОГО</w:t>
            </w:r>
            <w:r w:rsidR="00C45F15">
              <w:rPr>
                <w:b/>
                <w:color w:val="000000"/>
                <w:sz w:val="22"/>
                <w:szCs w:val="22"/>
              </w:rPr>
              <w:t xml:space="preserve"> 27 объектов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5A" w:rsidRPr="00C45F15" w:rsidRDefault="00CF4C5A" w:rsidP="00627E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F15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C45F15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C45F15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45F15">
              <w:rPr>
                <w:b/>
                <w:noProof/>
                <w:color w:val="000000"/>
                <w:sz w:val="22"/>
                <w:szCs w:val="22"/>
              </w:rPr>
              <w:t>8569,6</w:t>
            </w:r>
            <w:r w:rsidRPr="00C45F15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C5A" w:rsidRPr="00C45F15" w:rsidRDefault="00C45F15" w:rsidP="00627E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F15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C45F15">
              <w:rPr>
                <w:b/>
                <w:color w:val="000000"/>
                <w:sz w:val="22"/>
                <w:szCs w:val="22"/>
              </w:rPr>
              <w:instrText xml:space="preserve"> =SUM(ABOVE) </w:instrText>
            </w:r>
            <w:r w:rsidRPr="00C45F15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C45F15">
              <w:rPr>
                <w:b/>
                <w:noProof/>
                <w:color w:val="000000"/>
                <w:sz w:val="22"/>
                <w:szCs w:val="22"/>
              </w:rPr>
              <w:t>10867,8</w:t>
            </w:r>
            <w:r w:rsidRPr="00C45F15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F61BD" w:rsidRDefault="008F61BD" w:rsidP="00CB449A">
      <w:pPr>
        <w:spacing w:line="360" w:lineRule="auto"/>
        <w:ind w:firstLine="709"/>
        <w:jc w:val="both"/>
        <w:rPr>
          <w:rFonts w:eastAsia="Calibri"/>
        </w:rPr>
      </w:pPr>
    </w:p>
    <w:p w:rsidR="00152FCF" w:rsidRPr="00656C9B" w:rsidRDefault="00555321" w:rsidP="00555321">
      <w:pPr>
        <w:jc w:val="both"/>
        <w:rPr>
          <w:rFonts w:eastAsia="Calibri"/>
          <w:i/>
          <w:sz w:val="24"/>
          <w:szCs w:val="24"/>
        </w:rPr>
      </w:pPr>
      <w:r w:rsidRPr="00656C9B">
        <w:rPr>
          <w:rFonts w:eastAsia="Calibri"/>
          <w:i/>
          <w:sz w:val="24"/>
          <w:szCs w:val="24"/>
        </w:rPr>
        <w:t>Таблица по количеству объектов и объёму финансирования программы Ульяновской области в 2013 – 2020 годах (по сферам).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425"/>
        <w:gridCol w:w="709"/>
        <w:gridCol w:w="425"/>
        <w:gridCol w:w="744"/>
        <w:gridCol w:w="478"/>
        <w:gridCol w:w="763"/>
      </w:tblGrid>
      <w:tr w:rsidR="001E6B5C" w:rsidRPr="00061E0D" w:rsidTr="00627EB9">
        <w:tc>
          <w:tcPr>
            <w:tcW w:w="1134" w:type="dxa"/>
            <w:vMerge w:val="restart"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сфера</w:t>
            </w:r>
          </w:p>
        </w:tc>
        <w:tc>
          <w:tcPr>
            <w:tcW w:w="1276" w:type="dxa"/>
            <w:gridSpan w:val="2"/>
          </w:tcPr>
          <w:p w:rsidR="001E6B5C" w:rsidRPr="00061E0D" w:rsidRDefault="001E6B5C" w:rsidP="00627EB9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</w:tcPr>
          <w:p w:rsidR="001E6B5C" w:rsidRPr="00061E0D" w:rsidRDefault="001E6B5C" w:rsidP="00627EB9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</w:tcPr>
          <w:p w:rsidR="001E6B5C" w:rsidRPr="00061E0D" w:rsidRDefault="001E6B5C" w:rsidP="00627EB9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</w:tcPr>
          <w:p w:rsidR="001E6B5C" w:rsidRPr="00061E0D" w:rsidRDefault="001E6B5C" w:rsidP="00627EB9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</w:tcPr>
          <w:p w:rsidR="00C83582" w:rsidRDefault="001E6B5C" w:rsidP="00627EB9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2017</w:t>
            </w:r>
          </w:p>
          <w:p w:rsidR="001E6B5C" w:rsidRPr="00061E0D" w:rsidRDefault="001573A9" w:rsidP="00C8358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</w:tcPr>
          <w:p w:rsidR="001E6B5C" w:rsidRPr="00061E0D" w:rsidRDefault="001E6B5C" w:rsidP="00C8358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2018</w:t>
            </w:r>
            <w:r w:rsidR="001573A9">
              <w:rPr>
                <w:rFonts w:eastAsia="Calibri"/>
                <w:sz w:val="24"/>
                <w:szCs w:val="24"/>
              </w:rPr>
              <w:t xml:space="preserve"> прогноз</w:t>
            </w:r>
          </w:p>
        </w:tc>
        <w:tc>
          <w:tcPr>
            <w:tcW w:w="1169" w:type="dxa"/>
            <w:gridSpan w:val="2"/>
          </w:tcPr>
          <w:p w:rsidR="001E6B5C" w:rsidRPr="00061E0D" w:rsidRDefault="001E6B5C" w:rsidP="00C8358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2019</w:t>
            </w:r>
            <w:r w:rsidR="001573A9">
              <w:rPr>
                <w:rFonts w:eastAsia="Calibri"/>
                <w:sz w:val="24"/>
                <w:szCs w:val="24"/>
              </w:rPr>
              <w:t xml:space="preserve"> прогноз</w:t>
            </w:r>
          </w:p>
        </w:tc>
        <w:tc>
          <w:tcPr>
            <w:tcW w:w="1241" w:type="dxa"/>
            <w:gridSpan w:val="2"/>
          </w:tcPr>
          <w:p w:rsidR="001E6B5C" w:rsidRPr="00061E0D" w:rsidRDefault="001E6B5C" w:rsidP="00C83582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61E0D">
              <w:rPr>
                <w:rFonts w:eastAsia="Calibri"/>
                <w:sz w:val="24"/>
                <w:szCs w:val="24"/>
              </w:rPr>
              <w:t>2020</w:t>
            </w:r>
            <w:r w:rsidR="001573A9">
              <w:rPr>
                <w:rFonts w:eastAsia="Calibri"/>
                <w:sz w:val="24"/>
                <w:szCs w:val="24"/>
              </w:rPr>
              <w:t xml:space="preserve"> прогноз</w:t>
            </w:r>
          </w:p>
        </w:tc>
      </w:tr>
      <w:tr w:rsidR="001E6B5C" w:rsidRPr="00061E0D" w:rsidTr="00627EB9">
        <w:tc>
          <w:tcPr>
            <w:tcW w:w="1134" w:type="dxa"/>
            <w:vMerge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Кол-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Кол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ind w:left="-67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Здравоохранение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1000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16313,2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13101,31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3697,52</w:t>
            </w:r>
          </w:p>
        </w:tc>
        <w:tc>
          <w:tcPr>
            <w:tcW w:w="426" w:type="dxa"/>
          </w:tcPr>
          <w:p w:rsidR="001E6B5C" w:rsidRPr="00061E0D" w:rsidRDefault="001573A9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E6B5C" w:rsidRPr="00C45F15" w:rsidRDefault="00C45F15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C45F15">
              <w:rPr>
                <w:rFonts w:eastAsia="Calibri"/>
                <w:sz w:val="16"/>
                <w:szCs w:val="16"/>
              </w:rPr>
              <w:t>5636,4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5332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3763,7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2950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Социальная защита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24110,6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ind w:left="-108" w:right="-108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25338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32332,9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6848,8</w:t>
            </w:r>
          </w:p>
        </w:tc>
        <w:tc>
          <w:tcPr>
            <w:tcW w:w="426" w:type="dxa"/>
          </w:tcPr>
          <w:p w:rsidR="001E6B5C" w:rsidRPr="00061E0D" w:rsidRDefault="00F01E18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E6B5C" w:rsidRPr="00C45F15" w:rsidRDefault="003E7722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7021,68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8433,9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6204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4953,8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13364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6351,4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9728,66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3080,9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1E6B5C" w:rsidRPr="001573A9" w:rsidRDefault="00C45F15" w:rsidP="00627EB9">
            <w:pPr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45F15">
              <w:rPr>
                <w:rFonts w:eastAsia="Calibri"/>
                <w:sz w:val="16"/>
                <w:szCs w:val="16"/>
              </w:rPr>
              <w:t>3952,1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7429,9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16497,8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1854,3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1602,8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3762,2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4483,49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12952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E6B5C" w:rsidRPr="00C45F15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C45F15">
              <w:rPr>
                <w:rFonts w:eastAsia="Calibri"/>
                <w:sz w:val="16"/>
                <w:szCs w:val="16"/>
              </w:rPr>
              <w:t>9133,3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35000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4400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5500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 об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577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061E0D">
              <w:rPr>
                <w:rFonts w:eastAsia="Calibri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851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44188,3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061E0D">
              <w:rPr>
                <w:rFonts w:eastAsia="Calibri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850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6648,8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1E6B5C" w:rsidRPr="00C45F15" w:rsidRDefault="00C45F15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C45F1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061E0D">
              <w:rPr>
                <w:rFonts w:eastAsia="Calibri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709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25800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061E0D">
              <w:rPr>
                <w:rFonts w:eastAsia="Calibri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744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25800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061E0D">
              <w:rPr>
                <w:rFonts w:eastAsia="Calibri"/>
                <w:sz w:val="16"/>
                <w:szCs w:val="16"/>
              </w:rPr>
              <w:t>тр</w:t>
            </w:r>
            <w:proofErr w:type="spellEnd"/>
            <w:proofErr w:type="gramEnd"/>
          </w:p>
        </w:tc>
        <w:tc>
          <w:tcPr>
            <w:tcW w:w="763" w:type="dxa"/>
          </w:tcPr>
          <w:p w:rsidR="001E6B5C" w:rsidRPr="00061E0D" w:rsidRDefault="001E6B5C" w:rsidP="00627EB9">
            <w:pPr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25800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spacing w:line="360" w:lineRule="auto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Занятость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286,4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1E6B5C" w:rsidRPr="00C45F15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C45F1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spacing w:line="360" w:lineRule="auto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Спорт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9260,24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2561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3776,4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E6B5C" w:rsidRPr="00C45F15" w:rsidRDefault="00C45F15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C45F15">
              <w:rPr>
                <w:rFonts w:eastAsia="Calibri"/>
                <w:sz w:val="16"/>
                <w:szCs w:val="16"/>
              </w:rPr>
              <w:t>2318,4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9000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12000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12000</w:t>
            </w:r>
          </w:p>
        </w:tc>
      </w:tr>
      <w:tr w:rsidR="001E6B5C" w:rsidRPr="00061E0D" w:rsidTr="00627EB9">
        <w:tc>
          <w:tcPr>
            <w:tcW w:w="1134" w:type="dxa"/>
          </w:tcPr>
          <w:p w:rsidR="001E6B5C" w:rsidRPr="00061E0D" w:rsidRDefault="001E6B5C" w:rsidP="00627EB9">
            <w:pPr>
              <w:spacing w:line="360" w:lineRule="auto"/>
              <w:ind w:left="-108"/>
              <w:jc w:val="both"/>
              <w:rPr>
                <w:rFonts w:eastAsia="Calibri"/>
                <w:sz w:val="20"/>
                <w:szCs w:val="20"/>
              </w:rPr>
            </w:pPr>
            <w:r w:rsidRPr="00061E0D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50201,08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4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89896,7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103186,6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38965,12</w:t>
            </w:r>
          </w:p>
        </w:tc>
        <w:tc>
          <w:tcPr>
            <w:tcW w:w="426" w:type="dxa"/>
          </w:tcPr>
          <w:p w:rsidR="001E6B5C" w:rsidRPr="00061E0D" w:rsidRDefault="001573A9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1E6B5C" w:rsidRPr="00C45F15" w:rsidRDefault="00C45F15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C45F15">
              <w:rPr>
                <w:rFonts w:eastAsia="Calibri"/>
                <w:sz w:val="16"/>
                <w:szCs w:val="16"/>
              </w:rPr>
              <w:fldChar w:fldCharType="begin"/>
            </w:r>
            <w:r w:rsidRPr="00C45F15">
              <w:rPr>
                <w:rFonts w:eastAsia="Calibri"/>
                <w:sz w:val="16"/>
                <w:szCs w:val="16"/>
              </w:rPr>
              <w:instrText xml:space="preserve"> =SUM(ABOVE) </w:instrText>
            </w:r>
            <w:r w:rsidRPr="00C45F15">
              <w:rPr>
                <w:rFonts w:eastAsia="Calibri"/>
                <w:sz w:val="16"/>
                <w:szCs w:val="16"/>
              </w:rPr>
              <w:fldChar w:fldCharType="separate"/>
            </w:r>
            <w:r w:rsidRPr="00C45F15">
              <w:rPr>
                <w:rFonts w:eastAsia="Calibri"/>
                <w:noProof/>
                <w:sz w:val="16"/>
                <w:szCs w:val="16"/>
              </w:rPr>
              <w:t>27268,2</w:t>
            </w:r>
            <w:r w:rsidRPr="00C45F15">
              <w:rPr>
                <w:rFonts w:eastAsia="Calibri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93439</w:t>
            </w:r>
          </w:p>
        </w:tc>
        <w:tc>
          <w:tcPr>
            <w:tcW w:w="425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744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70525</w:t>
            </w:r>
          </w:p>
        </w:tc>
        <w:tc>
          <w:tcPr>
            <w:tcW w:w="478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763" w:type="dxa"/>
          </w:tcPr>
          <w:p w:rsidR="001E6B5C" w:rsidRPr="00061E0D" w:rsidRDefault="001E6B5C" w:rsidP="00627EB9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061E0D">
              <w:rPr>
                <w:rFonts w:eastAsia="Calibri"/>
                <w:sz w:val="16"/>
                <w:szCs w:val="16"/>
              </w:rPr>
              <w:t>55571,7</w:t>
            </w:r>
          </w:p>
        </w:tc>
      </w:tr>
    </w:tbl>
    <w:p w:rsidR="00F01E18" w:rsidRDefault="00F01E18" w:rsidP="001E6B5C">
      <w:pPr>
        <w:pStyle w:val="a8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i/>
          <w:sz w:val="22"/>
          <w:szCs w:val="22"/>
          <w:lang w:val="ru-RU" w:eastAsia="ru-RU"/>
        </w:rPr>
      </w:pPr>
    </w:p>
    <w:p w:rsidR="00906EFF" w:rsidRPr="00656C9B" w:rsidRDefault="00906EFF" w:rsidP="001E6B5C">
      <w:pPr>
        <w:pStyle w:val="a8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</w:pPr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>Справочная информация по количеству объектов и объёму финансирования программы Ульяновской области в 2013 – 20</w:t>
      </w:r>
      <w:r w:rsidR="00983846"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>16</w:t>
      </w:r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 xml:space="preserve"> годах (по сферам):</w:t>
      </w:r>
    </w:p>
    <w:p w:rsidR="001E6B5C" w:rsidRPr="00656C9B" w:rsidRDefault="001E6B5C" w:rsidP="001E6B5C">
      <w:pPr>
        <w:pStyle w:val="a8"/>
        <w:spacing w:after="0" w:line="240" w:lineRule="auto"/>
        <w:ind w:left="0" w:right="-1" w:firstLine="709"/>
        <w:jc w:val="both"/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</w:pPr>
      <w:proofErr w:type="gramStart"/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lastRenderedPageBreak/>
        <w:t xml:space="preserve">В 2013 году на реализацию мероприятий программы Ульяновской области выделено всего 49,5 тыс. рублей, из них: 24,3 млн. руб.  - из федерального бюджета и 25,2 млн. </w:t>
      </w:r>
      <w:proofErr w:type="spellStart"/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>руб</w:t>
      </w:r>
      <w:proofErr w:type="spellEnd"/>
      <w:r w:rsidRPr="00656C9B">
        <w:rPr>
          <w:rFonts w:ascii="Times New Roman" w:hAnsi="Times New Roman"/>
          <w:i/>
          <w:sz w:val="24"/>
          <w:szCs w:val="24"/>
        </w:rPr>
        <w:t xml:space="preserve">. 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 xml:space="preserve"> - </w:t>
      </w:r>
      <w:r w:rsidRPr="00656C9B">
        <w:rPr>
          <w:rFonts w:ascii="Times New Roman" w:hAnsi="Times New Roman"/>
          <w:i/>
          <w:sz w:val="24"/>
          <w:szCs w:val="24"/>
        </w:rPr>
        <w:t>консолидированного бюджета Ульяновской области, что позволило выполнить работы по адаптации 2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>8</w:t>
      </w:r>
      <w:r w:rsidRPr="00656C9B">
        <w:rPr>
          <w:rFonts w:ascii="Times New Roman" w:hAnsi="Times New Roman"/>
          <w:i/>
          <w:sz w:val="24"/>
          <w:szCs w:val="24"/>
        </w:rPr>
        <w:t xml:space="preserve"> объектов социальной инфраструктуры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 xml:space="preserve">, куда вошли 3 учреждения </w:t>
      </w:r>
      <w:r w:rsidRPr="00656C9B">
        <w:rPr>
          <w:rFonts w:ascii="Times New Roman" w:hAnsi="Times New Roman"/>
          <w:i/>
          <w:sz w:val="24"/>
          <w:szCs w:val="24"/>
        </w:rPr>
        <w:t xml:space="preserve"> здравоохранения, 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 xml:space="preserve">10 учреждений </w:t>
      </w:r>
      <w:r w:rsidRPr="00656C9B">
        <w:rPr>
          <w:rFonts w:ascii="Times New Roman" w:hAnsi="Times New Roman"/>
          <w:i/>
          <w:sz w:val="24"/>
          <w:szCs w:val="24"/>
        </w:rPr>
        <w:t xml:space="preserve">социальной защиты,  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 xml:space="preserve">4 учреждения </w:t>
      </w:r>
      <w:r w:rsidRPr="00656C9B">
        <w:rPr>
          <w:rFonts w:ascii="Times New Roman" w:hAnsi="Times New Roman"/>
          <w:i/>
          <w:sz w:val="24"/>
          <w:szCs w:val="24"/>
        </w:rPr>
        <w:t xml:space="preserve">образования, 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 xml:space="preserve">5 учреждений  </w:t>
      </w:r>
      <w:r w:rsidRPr="00656C9B">
        <w:rPr>
          <w:rFonts w:ascii="Times New Roman" w:hAnsi="Times New Roman"/>
          <w:i/>
          <w:sz w:val="24"/>
          <w:szCs w:val="24"/>
        </w:rPr>
        <w:t>культуры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>, 4 учреждения спорта</w:t>
      </w:r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>, 2 объекта</w:t>
      </w:r>
      <w:proofErr w:type="gramEnd"/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 xml:space="preserve"> транспортной инфраструктуры</w:t>
      </w:r>
      <w:proofErr w:type="gramStart"/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 xml:space="preserve">.. </w:t>
      </w:r>
      <w:proofErr w:type="gramEnd"/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>Были адаптированы входные группы – установлены пандусы, поручни, приспособлены санитарно-гигиенические комнаты, уложена тактильная плитка.</w:t>
      </w:r>
    </w:p>
    <w:p w:rsidR="001E6B5C" w:rsidRPr="00656C9B" w:rsidRDefault="001E6B5C" w:rsidP="001E6B5C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4"/>
          <w:szCs w:val="24"/>
        </w:rPr>
      </w:pPr>
      <w:r w:rsidRPr="00656C9B">
        <w:rPr>
          <w:rFonts w:ascii="Times New Roman" w:eastAsia="Times New Roman" w:hAnsi="Times New Roman" w:cs="Calibri"/>
          <w:i/>
          <w:sz w:val="24"/>
          <w:szCs w:val="24"/>
          <w:lang w:val="ru-RU" w:eastAsia="ru-RU"/>
        </w:rPr>
        <w:t xml:space="preserve"> В 2014 году всего выделено 90,1 млн. руб., из них 44,9 млн. руб. - средства  федерального бюджета и 45,2 млн. руб. - средства консолидированного бюджета области на 45 объектов социальной</w:t>
      </w:r>
      <w:r w:rsidRPr="00656C9B">
        <w:rPr>
          <w:rFonts w:ascii="Times New Roman" w:hAnsi="Times New Roman"/>
          <w:i/>
          <w:sz w:val="24"/>
          <w:szCs w:val="24"/>
        </w:rPr>
        <w:t xml:space="preserve"> инфраструктуры. Из них 1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>2</w:t>
      </w:r>
      <w:r w:rsidRPr="00656C9B">
        <w:rPr>
          <w:rFonts w:ascii="Times New Roman" w:hAnsi="Times New Roman"/>
          <w:i/>
          <w:sz w:val="24"/>
          <w:szCs w:val="24"/>
        </w:rPr>
        <w:t xml:space="preserve"> учреждений здравоохранения, 1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>4</w:t>
      </w:r>
      <w:r w:rsidRPr="00656C9B">
        <w:rPr>
          <w:rFonts w:ascii="Times New Roman" w:hAnsi="Times New Roman"/>
          <w:i/>
          <w:sz w:val="24"/>
          <w:szCs w:val="24"/>
        </w:rPr>
        <w:t xml:space="preserve"> учреждений образования, 1</w:t>
      </w:r>
      <w:r w:rsidRPr="00656C9B">
        <w:rPr>
          <w:rFonts w:ascii="Times New Roman" w:hAnsi="Times New Roman"/>
          <w:i/>
          <w:sz w:val="24"/>
          <w:szCs w:val="24"/>
          <w:lang w:val="ru-RU"/>
        </w:rPr>
        <w:t>2</w:t>
      </w:r>
      <w:r w:rsidRPr="00656C9B">
        <w:rPr>
          <w:rFonts w:ascii="Times New Roman" w:hAnsi="Times New Roman"/>
          <w:i/>
          <w:sz w:val="24"/>
          <w:szCs w:val="24"/>
        </w:rPr>
        <w:t xml:space="preserve"> учреждений культуры, 5 учреждений социального обслуживания, 2 учреждения спорта.</w:t>
      </w:r>
    </w:p>
    <w:p w:rsidR="001E6B5C" w:rsidRPr="00656C9B" w:rsidRDefault="001E6B5C" w:rsidP="001E6B5C">
      <w:pPr>
        <w:ind w:firstLine="708"/>
        <w:jc w:val="both"/>
        <w:rPr>
          <w:i/>
          <w:sz w:val="24"/>
          <w:szCs w:val="24"/>
        </w:rPr>
      </w:pPr>
      <w:r w:rsidRPr="00656C9B">
        <w:rPr>
          <w:i/>
          <w:sz w:val="24"/>
          <w:szCs w:val="24"/>
        </w:rPr>
        <w:t xml:space="preserve">В 2014 году в программе приняли участие 8 муниципальных образований: г. Ульяновск, г. Димитровград, </w:t>
      </w:r>
      <w:proofErr w:type="spellStart"/>
      <w:r w:rsidRPr="00656C9B">
        <w:rPr>
          <w:i/>
          <w:sz w:val="24"/>
          <w:szCs w:val="24"/>
        </w:rPr>
        <w:t>Базарносызганский</w:t>
      </w:r>
      <w:proofErr w:type="spellEnd"/>
      <w:r w:rsidRPr="00656C9B">
        <w:rPr>
          <w:i/>
          <w:sz w:val="24"/>
          <w:szCs w:val="24"/>
        </w:rPr>
        <w:t xml:space="preserve">, </w:t>
      </w:r>
      <w:proofErr w:type="spellStart"/>
      <w:r w:rsidRPr="00656C9B">
        <w:rPr>
          <w:i/>
          <w:sz w:val="24"/>
          <w:szCs w:val="24"/>
        </w:rPr>
        <w:t>Майнский</w:t>
      </w:r>
      <w:proofErr w:type="spellEnd"/>
      <w:r w:rsidRPr="00656C9B">
        <w:rPr>
          <w:i/>
          <w:sz w:val="24"/>
          <w:szCs w:val="24"/>
        </w:rPr>
        <w:t xml:space="preserve">, </w:t>
      </w:r>
      <w:proofErr w:type="spellStart"/>
      <w:r w:rsidRPr="00656C9B">
        <w:rPr>
          <w:i/>
          <w:sz w:val="24"/>
          <w:szCs w:val="24"/>
        </w:rPr>
        <w:t>Новомалыклинский</w:t>
      </w:r>
      <w:proofErr w:type="spellEnd"/>
      <w:r w:rsidRPr="00656C9B">
        <w:rPr>
          <w:i/>
          <w:sz w:val="24"/>
          <w:szCs w:val="24"/>
        </w:rPr>
        <w:t xml:space="preserve">, Павловский, Радищевский, </w:t>
      </w:r>
      <w:proofErr w:type="spellStart"/>
      <w:r w:rsidRPr="00656C9B">
        <w:rPr>
          <w:i/>
          <w:sz w:val="24"/>
          <w:szCs w:val="24"/>
        </w:rPr>
        <w:t>Сенгилеевский</w:t>
      </w:r>
      <w:proofErr w:type="spellEnd"/>
      <w:r w:rsidRPr="00656C9B">
        <w:rPr>
          <w:i/>
          <w:sz w:val="24"/>
          <w:szCs w:val="24"/>
        </w:rPr>
        <w:t xml:space="preserve">. </w:t>
      </w:r>
    </w:p>
    <w:p w:rsidR="001E6B5C" w:rsidRPr="00656C9B" w:rsidRDefault="001E6B5C" w:rsidP="001E6B5C">
      <w:pPr>
        <w:pStyle w:val="ConsPlusNormal"/>
        <w:widowControl w:val="0"/>
        <w:ind w:firstLine="708"/>
        <w:jc w:val="both"/>
        <w:rPr>
          <w:rFonts w:ascii="Times New Roman" w:hAnsi="Times New Roman" w:cs="Calibri"/>
          <w:i/>
          <w:sz w:val="24"/>
          <w:szCs w:val="24"/>
        </w:rPr>
      </w:pPr>
      <w:r w:rsidRPr="00656C9B">
        <w:rPr>
          <w:rFonts w:ascii="Times New Roman" w:hAnsi="Times New Roman" w:cs="Calibri"/>
          <w:i/>
          <w:sz w:val="24"/>
          <w:szCs w:val="24"/>
        </w:rPr>
        <w:t>В 2015 году Ульяновской области выделена субсидия из средств федерального бюджета в размере 54,7 млн. руб. Размер консолидированного бюджета Ульяновской области - 48,4 млн. руб. В 2015 году проведены работы по адаптации 29 объектов социальной инфраструктуры, из них:</w:t>
      </w:r>
    </w:p>
    <w:p w:rsidR="001E6B5C" w:rsidRPr="00656C9B" w:rsidRDefault="001E6B5C" w:rsidP="001E6B5C">
      <w:pPr>
        <w:pStyle w:val="ConsPlusNormal"/>
        <w:widowControl w:val="0"/>
        <w:ind w:firstLine="708"/>
        <w:jc w:val="both"/>
        <w:rPr>
          <w:rFonts w:ascii="Times New Roman" w:hAnsi="Times New Roman" w:cs="Calibri"/>
          <w:i/>
          <w:sz w:val="24"/>
          <w:szCs w:val="24"/>
        </w:rPr>
      </w:pPr>
      <w:proofErr w:type="gramStart"/>
      <w:r w:rsidRPr="00656C9B">
        <w:rPr>
          <w:rFonts w:ascii="Times New Roman" w:hAnsi="Times New Roman" w:cs="Calibri"/>
          <w:i/>
          <w:sz w:val="24"/>
          <w:szCs w:val="24"/>
        </w:rPr>
        <w:t>5 объектов здравоохранения (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Онкодиспансер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 xml:space="preserve">, Областной клинический центр специализированных видов медицинский помощи, Центральная городская клиническая больница, Ульяновская областная клиническая больница, Радищевская ЦРБ), 3 объекта социальной защиты (ПНИ 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Акшуат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 xml:space="preserve">, дом-интернат 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Акшуат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 xml:space="preserve">, Дом-интернат для престарелых и инвалидов в г. 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Новоульяновске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>), 17 объектов культуры (ЦНК, Драмтеатр, Дворец книги, музей им. Гончарова, Театр юного зрителя, музыкальное училище, 6 домов культуры, 3 библиотеки),  4 объекта образования</w:t>
      </w:r>
      <w:proofErr w:type="gramEnd"/>
      <w:r w:rsidRPr="00656C9B">
        <w:rPr>
          <w:rFonts w:ascii="Times New Roman" w:hAnsi="Times New Roman" w:cs="Calibri"/>
          <w:i/>
          <w:sz w:val="24"/>
          <w:szCs w:val="24"/>
        </w:rPr>
        <w:t xml:space="preserve"> (</w:t>
      </w:r>
      <w:proofErr w:type="gramStart"/>
      <w:r w:rsidRPr="00656C9B">
        <w:rPr>
          <w:rFonts w:ascii="Times New Roman" w:hAnsi="Times New Roman" w:cs="Calibri"/>
          <w:i/>
          <w:sz w:val="24"/>
          <w:szCs w:val="24"/>
        </w:rPr>
        <w:t xml:space="preserve">2 техникума, детский сад и школа искусств). </w:t>
      </w:r>
      <w:proofErr w:type="gramEnd"/>
    </w:p>
    <w:p w:rsidR="001E6B5C" w:rsidRPr="00656C9B" w:rsidRDefault="001E6B5C" w:rsidP="001E6B5C">
      <w:pPr>
        <w:pStyle w:val="ConsPlusNormal"/>
        <w:widowControl w:val="0"/>
        <w:ind w:firstLine="708"/>
        <w:jc w:val="both"/>
        <w:rPr>
          <w:rFonts w:ascii="Times New Roman" w:hAnsi="Times New Roman" w:cs="Calibri"/>
          <w:i/>
          <w:sz w:val="24"/>
          <w:szCs w:val="24"/>
        </w:rPr>
      </w:pPr>
      <w:r w:rsidRPr="00656C9B">
        <w:rPr>
          <w:rFonts w:ascii="Times New Roman" w:hAnsi="Times New Roman" w:cs="Calibri"/>
          <w:i/>
          <w:sz w:val="24"/>
          <w:szCs w:val="24"/>
        </w:rPr>
        <w:t xml:space="preserve">В 2015 году в реализации программных мероприятий приняли участие 7 муниципальных образований: г. Ульяновск, г. Димитровград, 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Сенгилеевский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 xml:space="preserve">, Новоспасский, 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Вешкаймский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 xml:space="preserve">, 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Старомайнский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 xml:space="preserve">, </w:t>
      </w:r>
      <w:proofErr w:type="spellStart"/>
      <w:r w:rsidRPr="00656C9B">
        <w:rPr>
          <w:rFonts w:ascii="Times New Roman" w:hAnsi="Times New Roman" w:cs="Calibri"/>
          <w:i/>
          <w:sz w:val="24"/>
          <w:szCs w:val="24"/>
        </w:rPr>
        <w:t>Майнский</w:t>
      </w:r>
      <w:proofErr w:type="spellEnd"/>
      <w:r w:rsidRPr="00656C9B">
        <w:rPr>
          <w:rFonts w:ascii="Times New Roman" w:hAnsi="Times New Roman" w:cs="Calibri"/>
          <w:i/>
          <w:sz w:val="24"/>
          <w:szCs w:val="24"/>
        </w:rPr>
        <w:t xml:space="preserve"> районы по адаптации 13 объектов культуры и образования (в том числе детские сады, школы искусств, центры культуры, библиотеки). </w:t>
      </w:r>
    </w:p>
    <w:p w:rsidR="001E6B5C" w:rsidRPr="00656C9B" w:rsidRDefault="001E6B5C" w:rsidP="001E6B5C">
      <w:pPr>
        <w:ind w:firstLine="709"/>
        <w:jc w:val="both"/>
        <w:rPr>
          <w:rFonts w:eastAsia="Calibri"/>
          <w:sz w:val="24"/>
          <w:szCs w:val="24"/>
        </w:rPr>
      </w:pPr>
      <w:r w:rsidRPr="00656C9B">
        <w:rPr>
          <w:rFonts w:eastAsia="Calibri"/>
          <w:i/>
          <w:sz w:val="24"/>
          <w:szCs w:val="24"/>
        </w:rPr>
        <w:t xml:space="preserve">В 2016 году в рамках программы Ульяновской области планируется оборудовать 30 объектов социальной инфраструктуры. </w:t>
      </w:r>
      <w:proofErr w:type="gramStart"/>
      <w:r w:rsidRPr="00656C9B">
        <w:rPr>
          <w:rFonts w:eastAsia="Calibri"/>
          <w:i/>
          <w:sz w:val="24"/>
          <w:szCs w:val="24"/>
        </w:rPr>
        <w:t>В том числе: 10 объектов здравоохранения</w:t>
      </w:r>
      <w:r w:rsidRPr="00656C9B">
        <w:rPr>
          <w:rFonts w:eastAsia="Calibri"/>
          <w:sz w:val="24"/>
          <w:szCs w:val="24"/>
        </w:rPr>
        <w:t xml:space="preserve"> </w:t>
      </w:r>
      <w:r w:rsidRPr="00656C9B">
        <w:rPr>
          <w:rFonts w:eastAsia="Calibri"/>
          <w:i/>
          <w:sz w:val="24"/>
          <w:szCs w:val="24"/>
        </w:rPr>
        <w:t xml:space="preserve">(ГУЗ Ульяновская областная клиническая наркологическая больница, ГУЗ Городская поликлиника №3, ГУЗ Городская поликлиника №5, ГУЗ Костно-туберкулезный санаторий «Сосновка», ГУЗ </w:t>
      </w:r>
      <w:proofErr w:type="spellStart"/>
      <w:r w:rsidRPr="00656C9B">
        <w:rPr>
          <w:rFonts w:eastAsia="Calibri"/>
          <w:i/>
          <w:sz w:val="24"/>
          <w:szCs w:val="24"/>
        </w:rPr>
        <w:t>Карсунская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районная больница, ГУЗ Областной детский противотуберкулезный санаторий «Юлово», ГУЗ </w:t>
      </w:r>
      <w:proofErr w:type="spellStart"/>
      <w:r w:rsidRPr="00656C9B">
        <w:rPr>
          <w:rFonts w:eastAsia="Calibri"/>
          <w:i/>
          <w:sz w:val="24"/>
          <w:szCs w:val="24"/>
        </w:rPr>
        <w:t>Барышская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районная больница, ГУЗ </w:t>
      </w:r>
      <w:proofErr w:type="spellStart"/>
      <w:r w:rsidRPr="00656C9B">
        <w:rPr>
          <w:rFonts w:eastAsia="Calibri"/>
          <w:i/>
          <w:sz w:val="24"/>
          <w:szCs w:val="24"/>
        </w:rPr>
        <w:t>Вешкаймская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районная больница, ГУЗ </w:t>
      </w:r>
      <w:proofErr w:type="spellStart"/>
      <w:r w:rsidRPr="00656C9B">
        <w:rPr>
          <w:rFonts w:eastAsia="Calibri"/>
          <w:i/>
          <w:sz w:val="24"/>
          <w:szCs w:val="24"/>
        </w:rPr>
        <w:t>Кузоватовская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районная больница, ГУЗ </w:t>
      </w:r>
      <w:proofErr w:type="spellStart"/>
      <w:r w:rsidRPr="00656C9B">
        <w:rPr>
          <w:rFonts w:eastAsia="Calibri"/>
          <w:i/>
          <w:sz w:val="24"/>
          <w:szCs w:val="24"/>
        </w:rPr>
        <w:t>Сурская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районная больница), , </w:t>
      </w:r>
      <w:r w:rsidRPr="00656C9B">
        <w:rPr>
          <w:rFonts w:eastAsia="Calibri"/>
          <w:sz w:val="24"/>
          <w:szCs w:val="24"/>
        </w:rPr>
        <w:t>12 объектов культуры</w:t>
      </w:r>
      <w:r w:rsidRPr="00656C9B">
        <w:rPr>
          <w:rFonts w:eastAsia="Calibri"/>
          <w:i/>
          <w:sz w:val="24"/>
          <w:szCs w:val="24"/>
        </w:rPr>
        <w:t xml:space="preserve"> (Филиал областного государственного бюджетного учреждения культуры «Ульяновский</w:t>
      </w:r>
      <w:proofErr w:type="gramEnd"/>
      <w:r w:rsidRPr="00656C9B">
        <w:rPr>
          <w:rFonts w:eastAsia="Calibri"/>
          <w:i/>
          <w:sz w:val="24"/>
          <w:szCs w:val="24"/>
        </w:rPr>
        <w:t xml:space="preserve"> областной художественный музей» Музей А.А. </w:t>
      </w:r>
      <w:proofErr w:type="spellStart"/>
      <w:r w:rsidRPr="00656C9B">
        <w:rPr>
          <w:rFonts w:eastAsia="Calibri"/>
          <w:i/>
          <w:sz w:val="24"/>
          <w:szCs w:val="24"/>
        </w:rPr>
        <w:t>Пластова</w:t>
      </w:r>
      <w:proofErr w:type="spellEnd"/>
      <w:r w:rsidRPr="00656C9B">
        <w:rPr>
          <w:rFonts w:eastAsia="Calibri"/>
          <w:i/>
          <w:sz w:val="24"/>
          <w:szCs w:val="24"/>
        </w:rPr>
        <w:t>, ОГАУК «</w:t>
      </w:r>
      <w:proofErr w:type="spellStart"/>
      <w:r w:rsidRPr="00656C9B">
        <w:rPr>
          <w:rFonts w:eastAsia="Calibri"/>
          <w:i/>
          <w:sz w:val="24"/>
          <w:szCs w:val="24"/>
        </w:rPr>
        <w:t>УльяновскКинофонд</w:t>
      </w:r>
      <w:proofErr w:type="spellEnd"/>
      <w:r w:rsidRPr="00656C9B">
        <w:rPr>
          <w:rFonts w:eastAsia="Calibri"/>
          <w:i/>
          <w:sz w:val="24"/>
          <w:szCs w:val="24"/>
        </w:rPr>
        <w:t>», МБУК "Централизованная библиотечная система" (библиотека №4), МБУК "Централизованная библиотечная система" (библиотека №12), Муниципальное казённое учреждение культуры «</w:t>
      </w:r>
      <w:proofErr w:type="spellStart"/>
      <w:r w:rsidRPr="00656C9B">
        <w:rPr>
          <w:rFonts w:eastAsia="Calibri"/>
          <w:i/>
          <w:sz w:val="24"/>
          <w:szCs w:val="24"/>
        </w:rPr>
        <w:t>Вешкаймская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</w:t>
      </w:r>
      <w:proofErr w:type="spellStart"/>
      <w:r w:rsidRPr="00656C9B">
        <w:rPr>
          <w:rFonts w:eastAsia="Calibri"/>
          <w:i/>
          <w:sz w:val="24"/>
          <w:szCs w:val="24"/>
        </w:rPr>
        <w:t>межпоселенческая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библиотечная система», </w:t>
      </w:r>
      <w:proofErr w:type="spellStart"/>
      <w:r w:rsidRPr="00656C9B">
        <w:rPr>
          <w:rFonts w:eastAsia="Calibri"/>
          <w:i/>
          <w:sz w:val="24"/>
          <w:szCs w:val="24"/>
        </w:rPr>
        <w:t>Каргинский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центральный сельский Дом культуры, отделение муниципального казённого учреждения </w:t>
      </w:r>
      <w:proofErr w:type="spellStart"/>
      <w:r w:rsidRPr="00656C9B">
        <w:rPr>
          <w:rFonts w:eastAsia="Calibri"/>
          <w:i/>
          <w:sz w:val="24"/>
          <w:szCs w:val="24"/>
        </w:rPr>
        <w:t>Вешкаймский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Районный Дом </w:t>
      </w:r>
      <w:proofErr w:type="spellStart"/>
      <w:r w:rsidRPr="00656C9B">
        <w:rPr>
          <w:rFonts w:eastAsia="Calibri"/>
          <w:i/>
          <w:sz w:val="24"/>
          <w:szCs w:val="24"/>
        </w:rPr>
        <w:t>культуры</w:t>
      </w:r>
      <w:proofErr w:type="gramStart"/>
      <w:r w:rsidRPr="00656C9B">
        <w:rPr>
          <w:rFonts w:eastAsia="Calibri"/>
          <w:i/>
          <w:sz w:val="24"/>
          <w:szCs w:val="24"/>
        </w:rPr>
        <w:t>,М</w:t>
      </w:r>
      <w:proofErr w:type="gramEnd"/>
      <w:r w:rsidRPr="00656C9B">
        <w:rPr>
          <w:rFonts w:eastAsia="Calibri"/>
          <w:i/>
          <w:sz w:val="24"/>
          <w:szCs w:val="24"/>
        </w:rPr>
        <w:t>униципальное</w:t>
      </w:r>
      <w:proofErr w:type="spellEnd"/>
      <w:r w:rsidRPr="00656C9B">
        <w:rPr>
          <w:rFonts w:eastAsia="Calibri"/>
          <w:i/>
          <w:sz w:val="24"/>
          <w:szCs w:val="24"/>
        </w:rPr>
        <w:t xml:space="preserve"> бюджетное учреждение, дополнительного образования  «</w:t>
      </w:r>
      <w:proofErr w:type="spellStart"/>
      <w:r w:rsidRPr="00656C9B">
        <w:rPr>
          <w:rFonts w:eastAsia="Calibri"/>
          <w:i/>
          <w:sz w:val="24"/>
          <w:szCs w:val="24"/>
        </w:rPr>
        <w:t>Новомалыклинская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детская школа искусств», Объект культурного наследия «Дом, в котором жила семья посадского </w:t>
      </w:r>
      <w:proofErr w:type="gramStart"/>
      <w:r w:rsidRPr="00656C9B">
        <w:rPr>
          <w:rFonts w:eastAsia="Calibri"/>
          <w:i/>
          <w:sz w:val="24"/>
          <w:szCs w:val="24"/>
        </w:rPr>
        <w:t>головы, мецената Маркова К.» Муниципальное казенное учреждение «Управление по реализации социальных программ», МКУК «</w:t>
      </w:r>
      <w:proofErr w:type="spellStart"/>
      <w:r w:rsidRPr="00656C9B">
        <w:rPr>
          <w:rFonts w:eastAsia="Calibri"/>
          <w:i/>
          <w:sz w:val="24"/>
          <w:szCs w:val="24"/>
        </w:rPr>
        <w:t>Межпоселенческая</w:t>
      </w:r>
      <w:proofErr w:type="spellEnd"/>
      <w:r w:rsidRPr="00656C9B">
        <w:rPr>
          <w:rFonts w:eastAsia="Calibri"/>
          <w:i/>
          <w:sz w:val="24"/>
          <w:szCs w:val="24"/>
        </w:rPr>
        <w:t xml:space="preserve"> библиотека», МУК «Радищевский краеведческий музей», </w:t>
      </w:r>
      <w:r w:rsidRPr="00656C9B">
        <w:rPr>
          <w:rFonts w:eastAsia="Calibri"/>
          <w:i/>
          <w:sz w:val="24"/>
          <w:szCs w:val="24"/>
        </w:rPr>
        <w:lastRenderedPageBreak/>
        <w:t>Филиал МУК «</w:t>
      </w:r>
      <w:proofErr w:type="spellStart"/>
      <w:r w:rsidRPr="00656C9B">
        <w:rPr>
          <w:rFonts w:eastAsia="Calibri"/>
          <w:i/>
          <w:sz w:val="24"/>
          <w:szCs w:val="24"/>
        </w:rPr>
        <w:t>Межпоселенческий</w:t>
      </w:r>
      <w:proofErr w:type="spellEnd"/>
      <w:r w:rsidRPr="00656C9B">
        <w:rPr>
          <w:rFonts w:eastAsia="Calibri"/>
          <w:i/>
          <w:sz w:val="24"/>
          <w:szCs w:val="24"/>
        </w:rPr>
        <w:t xml:space="preserve"> культурный центр» </w:t>
      </w:r>
      <w:proofErr w:type="spellStart"/>
      <w:r w:rsidRPr="00656C9B">
        <w:rPr>
          <w:rFonts w:eastAsia="Calibri"/>
          <w:i/>
          <w:sz w:val="24"/>
          <w:szCs w:val="24"/>
        </w:rPr>
        <w:t>Мирновский</w:t>
      </w:r>
      <w:proofErr w:type="spellEnd"/>
      <w:r w:rsidRPr="00656C9B">
        <w:rPr>
          <w:rFonts w:eastAsia="Calibri"/>
          <w:i/>
          <w:sz w:val="24"/>
          <w:szCs w:val="24"/>
        </w:rPr>
        <w:t xml:space="preserve"> СДК Районный дом  культуры),  </w:t>
      </w:r>
      <w:r w:rsidRPr="00656C9B">
        <w:rPr>
          <w:rFonts w:eastAsia="Calibri"/>
          <w:sz w:val="24"/>
          <w:szCs w:val="24"/>
        </w:rPr>
        <w:t>5 объектов образования</w:t>
      </w:r>
      <w:r w:rsidRPr="00656C9B">
        <w:rPr>
          <w:rFonts w:eastAsia="Calibri"/>
          <w:i/>
          <w:sz w:val="24"/>
          <w:szCs w:val="24"/>
        </w:rPr>
        <w:t xml:space="preserve"> (ОГБОУ ДОД областной Дво</w:t>
      </w:r>
      <w:r w:rsidRPr="00656C9B">
        <w:rPr>
          <w:rFonts w:eastAsia="Calibri"/>
          <w:i/>
          <w:sz w:val="24"/>
          <w:szCs w:val="24"/>
        </w:rPr>
        <w:softHyphen/>
        <w:t>рец творчества детей и молодёжи  ОГКОУ «Школа-интернат  для обучающихся  с  ограниченными возможностями здоровья № 89», ОГКОУШ № 39, ОГКОК «Школа-интернат для обучающихся с ограниченными возможностями здоровья №18</w:t>
      </w:r>
      <w:proofErr w:type="gramEnd"/>
      <w:r w:rsidRPr="00656C9B">
        <w:rPr>
          <w:rFonts w:eastAsia="Calibri"/>
          <w:i/>
          <w:sz w:val="24"/>
          <w:szCs w:val="24"/>
        </w:rPr>
        <w:t xml:space="preserve">», </w:t>
      </w:r>
      <w:proofErr w:type="gramStart"/>
      <w:r w:rsidRPr="00656C9B">
        <w:rPr>
          <w:rFonts w:eastAsia="Calibri"/>
          <w:i/>
          <w:sz w:val="24"/>
          <w:szCs w:val="24"/>
        </w:rPr>
        <w:t>ОГКОУ «Измайловская школа-интернат для обучающихся с ограниченными возможностями здоровья»)</w:t>
      </w:r>
      <w:r w:rsidRPr="00656C9B">
        <w:rPr>
          <w:rFonts w:eastAsia="Calibri"/>
          <w:sz w:val="24"/>
          <w:szCs w:val="24"/>
        </w:rPr>
        <w:t xml:space="preserve">, 2 объекта социальной защиты </w:t>
      </w:r>
      <w:r w:rsidRPr="00656C9B">
        <w:rPr>
          <w:rFonts w:eastAsia="Calibri"/>
          <w:i/>
          <w:sz w:val="24"/>
          <w:szCs w:val="24"/>
        </w:rPr>
        <w:t xml:space="preserve">(Областное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 Ульяновске», Областное государственное казённое учреждение социального обслуживания социального обслуживания «Комплексный центр социального обслуживания в </w:t>
      </w:r>
      <w:proofErr w:type="spellStart"/>
      <w:r w:rsidRPr="00656C9B">
        <w:rPr>
          <w:rFonts w:eastAsia="Calibri"/>
          <w:i/>
          <w:sz w:val="24"/>
          <w:szCs w:val="24"/>
        </w:rPr>
        <w:t>р.п</w:t>
      </w:r>
      <w:proofErr w:type="spellEnd"/>
      <w:r w:rsidRPr="00656C9B">
        <w:rPr>
          <w:rFonts w:eastAsia="Calibri"/>
          <w:i/>
          <w:sz w:val="24"/>
          <w:szCs w:val="24"/>
        </w:rPr>
        <w:t>.</w:t>
      </w:r>
      <w:proofErr w:type="gramEnd"/>
      <w:r w:rsidRPr="00656C9B">
        <w:rPr>
          <w:rFonts w:eastAsia="Calibri"/>
          <w:i/>
          <w:sz w:val="24"/>
          <w:szCs w:val="24"/>
        </w:rPr>
        <w:t xml:space="preserve"> </w:t>
      </w:r>
      <w:proofErr w:type="gramStart"/>
      <w:r w:rsidRPr="00656C9B">
        <w:rPr>
          <w:rFonts w:eastAsia="Calibri"/>
          <w:i/>
          <w:sz w:val="24"/>
          <w:szCs w:val="24"/>
        </w:rPr>
        <w:t>Павловка»),</w:t>
      </w:r>
      <w:r w:rsidRPr="00656C9B">
        <w:rPr>
          <w:rFonts w:eastAsia="Calibri"/>
          <w:sz w:val="24"/>
          <w:szCs w:val="24"/>
        </w:rPr>
        <w:t xml:space="preserve">  1 объект спорта </w:t>
      </w:r>
      <w:r w:rsidRPr="00656C9B">
        <w:rPr>
          <w:rFonts w:eastAsia="Calibri"/>
          <w:i/>
          <w:sz w:val="24"/>
          <w:szCs w:val="24"/>
        </w:rPr>
        <w:t>– Центральный стадион «Труд»</w:t>
      </w:r>
      <w:r w:rsidRPr="00656C9B">
        <w:rPr>
          <w:rFonts w:eastAsia="Calibri"/>
          <w:sz w:val="24"/>
          <w:szCs w:val="24"/>
        </w:rPr>
        <w:t>.</w:t>
      </w:r>
      <w:proofErr w:type="gramEnd"/>
      <w:r w:rsidRPr="00656C9B">
        <w:rPr>
          <w:rFonts w:eastAsia="Calibri"/>
          <w:sz w:val="24"/>
          <w:szCs w:val="24"/>
        </w:rPr>
        <w:t xml:space="preserve">  Будут проведены работы по установке лифтов, подъёмных устройств, устройству пандусов, оборудованию санитарно-гигиенических комнат, приобретено оборудование для нужд инвалидов. </w:t>
      </w:r>
    </w:p>
    <w:p w:rsidR="001E6B5C" w:rsidRPr="00656C9B" w:rsidRDefault="001E6B5C" w:rsidP="001E6B5C">
      <w:pPr>
        <w:ind w:firstLine="709"/>
        <w:jc w:val="both"/>
        <w:rPr>
          <w:i/>
          <w:sz w:val="24"/>
          <w:szCs w:val="24"/>
        </w:rPr>
      </w:pPr>
      <w:r w:rsidRPr="00656C9B">
        <w:rPr>
          <w:i/>
          <w:sz w:val="24"/>
          <w:szCs w:val="24"/>
        </w:rPr>
        <w:t>Всего на реализацию мероприятий Программы Ульяновской области в 2016 году предусмотрено 38965,12 тыс. рублей, из них средства федерального бюджета составляют 23546,4 тыс. рублей, средства консолидированного бюджета Ульяновской области – 15418,72 тыс. рублей.</w:t>
      </w:r>
    </w:p>
    <w:p w:rsidR="001E6B5C" w:rsidRPr="00656C9B" w:rsidRDefault="001E6B5C" w:rsidP="00CB449A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4435FD" w:rsidRPr="00061E0D" w:rsidRDefault="00152FCF" w:rsidP="00925DD1">
      <w:pPr>
        <w:spacing w:line="360" w:lineRule="auto"/>
        <w:ind w:firstLine="709"/>
        <w:jc w:val="both"/>
        <w:rPr>
          <w:rFonts w:eastAsia="Calibri"/>
        </w:rPr>
      </w:pPr>
      <w:r w:rsidRPr="00152FCF">
        <w:rPr>
          <w:rFonts w:eastAsia="Calibri"/>
          <w:i/>
          <w:sz w:val="24"/>
          <w:szCs w:val="24"/>
        </w:rPr>
        <w:t xml:space="preserve"> </w:t>
      </w:r>
      <w:r w:rsidR="001E6B5C">
        <w:t>Кроме того, необходимо отметить, что в рамках программы Ульяновской области «Доступная среда» за счёт средств областного бюджета Ульяновской области е</w:t>
      </w:r>
      <w:r w:rsidR="004435FD" w:rsidRPr="00061E0D">
        <w:t xml:space="preserve">жегодно общественным организациям инвалидов в рамках </w:t>
      </w:r>
      <w:r w:rsidR="00925DD1" w:rsidRPr="00061E0D">
        <w:t xml:space="preserve">государственной </w:t>
      </w:r>
      <w:r w:rsidR="004435FD" w:rsidRPr="00061E0D">
        <w:t xml:space="preserve">программы </w:t>
      </w:r>
      <w:r w:rsidR="00925DD1" w:rsidRPr="00061E0D">
        <w:t xml:space="preserve">«Доступная среда» </w:t>
      </w:r>
      <w:r w:rsidR="0046264E" w:rsidRPr="00061E0D">
        <w:t xml:space="preserve">оплачивается </w:t>
      </w:r>
      <w:r w:rsidR="004435FD" w:rsidRPr="00061E0D">
        <w:t xml:space="preserve"> </w:t>
      </w:r>
      <w:r w:rsidR="004435FD" w:rsidRPr="003851BB">
        <w:rPr>
          <w:b/>
        </w:rPr>
        <w:t xml:space="preserve">проезд к месту проведения соревнований, </w:t>
      </w:r>
      <w:r w:rsidR="0046264E" w:rsidRPr="003851BB">
        <w:rPr>
          <w:b/>
        </w:rPr>
        <w:t>творческих конкурсов</w:t>
      </w:r>
      <w:r w:rsidR="00925DD1" w:rsidRPr="00061E0D">
        <w:t>. Так, в 2016 году на указанные цели выделено</w:t>
      </w:r>
      <w:r w:rsidR="004435FD" w:rsidRPr="00061E0D">
        <w:rPr>
          <w:rFonts w:eastAsia="Calibri"/>
        </w:rPr>
        <w:t>:</w:t>
      </w:r>
    </w:p>
    <w:p w:rsidR="004435FD" w:rsidRPr="00061E0D" w:rsidRDefault="00925DD1" w:rsidP="00925DD1">
      <w:pPr>
        <w:spacing w:line="360" w:lineRule="auto"/>
        <w:ind w:firstLine="709"/>
        <w:jc w:val="both"/>
      </w:pPr>
      <w:r w:rsidRPr="00061E0D">
        <w:t>240</w:t>
      </w:r>
      <w:r w:rsidR="004435FD" w:rsidRPr="00061E0D">
        <w:t xml:space="preserve"> тыс. рублей - на перевозку инвалидов </w:t>
      </w:r>
      <w:r w:rsidRPr="00061E0D">
        <w:t xml:space="preserve">с нарушением слуха и зрения </w:t>
      </w:r>
      <w:r w:rsidR="004435FD" w:rsidRPr="00061E0D">
        <w:t>для участия в областных, межрегиональных, международных соревнованиях</w:t>
      </w:r>
      <w:r w:rsidRPr="00061E0D">
        <w:t xml:space="preserve"> </w:t>
      </w:r>
      <w:r w:rsidRPr="00061E0D">
        <w:rPr>
          <w:i/>
          <w:sz w:val="22"/>
          <w:szCs w:val="22"/>
        </w:rPr>
        <w:t>(</w:t>
      </w:r>
      <w:r w:rsidR="004435FD" w:rsidRPr="00061E0D">
        <w:rPr>
          <w:i/>
          <w:sz w:val="22"/>
          <w:szCs w:val="22"/>
        </w:rPr>
        <w:t>IV Всероссийский конкурс концертных программ, посвящённый 90-летию Всероссийского общества глухих, V Всероссийский молодёжный форум Всероссийского общества глухих,  Всероссийский реабилитационный интерактивный конкурс зрительских симпатий Всероссийского общества слепых «Творческая Ярмарка»</w:t>
      </w:r>
      <w:r w:rsidR="00D62147">
        <w:rPr>
          <w:i/>
          <w:sz w:val="22"/>
          <w:szCs w:val="22"/>
        </w:rPr>
        <w:t xml:space="preserve"> </w:t>
      </w:r>
      <w:proofErr w:type="spellStart"/>
      <w:r w:rsidR="00D62147">
        <w:rPr>
          <w:i/>
          <w:sz w:val="22"/>
          <w:szCs w:val="22"/>
        </w:rPr>
        <w:t>и.т.д</w:t>
      </w:r>
      <w:proofErr w:type="spellEnd"/>
      <w:r w:rsidR="00D62147">
        <w:rPr>
          <w:i/>
          <w:sz w:val="22"/>
          <w:szCs w:val="22"/>
        </w:rPr>
        <w:t>.</w:t>
      </w:r>
      <w:r w:rsidR="004435FD" w:rsidRPr="00061E0D">
        <w:rPr>
          <w:i/>
          <w:sz w:val="22"/>
          <w:szCs w:val="22"/>
        </w:rPr>
        <w:t>);</w:t>
      </w:r>
    </w:p>
    <w:p w:rsidR="004435FD" w:rsidRPr="00061E0D" w:rsidRDefault="004435FD" w:rsidP="00925DD1">
      <w:pPr>
        <w:spacing w:line="360" w:lineRule="auto"/>
        <w:ind w:firstLine="709"/>
        <w:jc w:val="both"/>
      </w:pPr>
      <w:r w:rsidRPr="00061E0D">
        <w:t>190 тыс. рублей – на проведение месячника «Белая трость», Международного дня глухих, Дня больных рассеянным склерозом, Дня больных сахарным диабетом;</w:t>
      </w:r>
    </w:p>
    <w:p w:rsidR="004435FD" w:rsidRPr="00061E0D" w:rsidRDefault="00925DD1" w:rsidP="00925DD1">
      <w:pPr>
        <w:spacing w:line="360" w:lineRule="auto"/>
        <w:ind w:firstLine="709"/>
        <w:jc w:val="both"/>
      </w:pPr>
      <w:r w:rsidRPr="00061E0D">
        <w:t>150</w:t>
      </w:r>
      <w:r w:rsidR="004435FD" w:rsidRPr="00061E0D">
        <w:t xml:space="preserve"> тыс. рублей – на проведение социально-значимого мероприятия для детей-инвалидов «Парад ангелов»;</w:t>
      </w:r>
    </w:p>
    <w:p w:rsidR="00925DD1" w:rsidRPr="00061E0D" w:rsidRDefault="00925DD1" w:rsidP="00925DD1">
      <w:pPr>
        <w:spacing w:line="360" w:lineRule="auto"/>
        <w:ind w:firstLine="709"/>
        <w:jc w:val="both"/>
      </w:pPr>
      <w:r w:rsidRPr="00061E0D">
        <w:t>70 тыс. рублей – на обучение жестовому языку родителей детей с нарушением слуха, специалистов социальной защиты, здравоохранения.</w:t>
      </w:r>
    </w:p>
    <w:p w:rsidR="00F55B0C" w:rsidRPr="00061E0D" w:rsidRDefault="00F55B0C" w:rsidP="00CB449A">
      <w:pPr>
        <w:spacing w:line="360" w:lineRule="auto"/>
        <w:ind w:firstLine="709"/>
        <w:jc w:val="both"/>
        <w:rPr>
          <w:rFonts w:eastAsia="Calibri"/>
        </w:rPr>
      </w:pPr>
    </w:p>
    <w:p w:rsidR="0021199A" w:rsidRPr="00061E0D" w:rsidRDefault="00D62147" w:rsidP="009B1A9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Министерством</w:t>
      </w:r>
      <w:r w:rsidR="0021199A" w:rsidRPr="00061E0D">
        <w:rPr>
          <w:sz w:val="26"/>
          <w:szCs w:val="26"/>
        </w:rPr>
        <w:t xml:space="preserve"> ежеквартально проводится мониторинг </w:t>
      </w:r>
      <w:proofErr w:type="gramStart"/>
      <w:r w:rsidR="0021199A" w:rsidRPr="00061E0D">
        <w:rPr>
          <w:sz w:val="26"/>
          <w:szCs w:val="26"/>
        </w:rPr>
        <w:t>показателей доступности всех объектов социальной инфраструктуры Ульяновской области</w:t>
      </w:r>
      <w:proofErr w:type="gramEnd"/>
      <w:r w:rsidR="0021199A" w:rsidRPr="00061E0D">
        <w:rPr>
          <w:sz w:val="26"/>
          <w:szCs w:val="26"/>
        </w:rPr>
        <w:t xml:space="preserve">. </w:t>
      </w:r>
      <w:proofErr w:type="gramStart"/>
      <w:r w:rsidR="0021199A" w:rsidRPr="00061E0D">
        <w:rPr>
          <w:sz w:val="26"/>
          <w:szCs w:val="26"/>
        </w:rPr>
        <w:t>Так, по состоянию на 01.</w:t>
      </w:r>
      <w:r w:rsidR="004C1D64">
        <w:rPr>
          <w:sz w:val="26"/>
          <w:szCs w:val="26"/>
        </w:rPr>
        <w:t>11</w:t>
      </w:r>
      <w:r w:rsidR="0021199A" w:rsidRPr="00061E0D">
        <w:rPr>
          <w:sz w:val="26"/>
          <w:szCs w:val="26"/>
        </w:rPr>
        <w:t>.2016  для инвалидов доступно (в том числе путём устройства кнопки вызова) 31% объектов социальной инфраструктуры Ульяновской области, что выше показателя на 01.</w:t>
      </w:r>
      <w:r w:rsidR="004C1D64">
        <w:rPr>
          <w:sz w:val="26"/>
          <w:szCs w:val="26"/>
        </w:rPr>
        <w:t>11</w:t>
      </w:r>
      <w:r w:rsidR="0021199A" w:rsidRPr="00061E0D">
        <w:rPr>
          <w:sz w:val="26"/>
          <w:szCs w:val="26"/>
        </w:rPr>
        <w:t xml:space="preserve">.2015 года, который составил 21%.  </w:t>
      </w:r>
      <w:r w:rsidR="00FB3DC0" w:rsidRPr="00747386">
        <w:rPr>
          <w:bCs/>
        </w:rPr>
        <w:t>Необходимо отметить, что вышеуказанный показатель по количеству оборудованных для инвалидов объектов рассчитан с учётом действующих объектов жилого фонда,  показатель доступности по которым наименьший - 8%</w:t>
      </w:r>
      <w:r w:rsidR="00FB3DC0">
        <w:rPr>
          <w:bCs/>
        </w:rPr>
        <w:t xml:space="preserve">. </w:t>
      </w:r>
      <w:r w:rsidR="0021199A" w:rsidRPr="00061E0D">
        <w:rPr>
          <w:sz w:val="26"/>
          <w:szCs w:val="26"/>
        </w:rPr>
        <w:t>В том числе в сферах:</w:t>
      </w:r>
      <w:proofErr w:type="gramEnd"/>
    </w:p>
    <w:p w:rsidR="0021199A" w:rsidRPr="00061E0D" w:rsidRDefault="0021199A" w:rsidP="009B1A98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348"/>
        <w:gridCol w:w="2897"/>
        <w:gridCol w:w="2064"/>
        <w:gridCol w:w="1905"/>
      </w:tblGrid>
      <w:tr w:rsidR="0021199A" w:rsidRPr="00061E0D" w:rsidTr="005D0390">
        <w:trPr>
          <w:trHeight w:val="122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99A" w:rsidRPr="003851BB" w:rsidRDefault="0021199A" w:rsidP="009B1A98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1BB">
              <w:rPr>
                <w:b/>
                <w:bCs/>
                <w:i/>
                <w:sz w:val="22"/>
                <w:szCs w:val="22"/>
              </w:rPr>
              <w:t>Общее количество ОСИ на территории Ульяновской области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99A" w:rsidRPr="003851BB" w:rsidRDefault="0021199A" w:rsidP="009B1A98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3851BB">
              <w:rPr>
                <w:b/>
                <w:bCs/>
                <w:i/>
                <w:sz w:val="22"/>
                <w:szCs w:val="22"/>
              </w:rPr>
              <w:t>Кол-во ОСИ  доступных для инвалидов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1199A" w:rsidRPr="003851BB" w:rsidRDefault="0021199A" w:rsidP="009B1A98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1BB">
              <w:rPr>
                <w:b/>
                <w:bCs/>
                <w:i/>
                <w:sz w:val="22"/>
                <w:szCs w:val="22"/>
              </w:rPr>
              <w:t xml:space="preserve">% </w:t>
            </w:r>
            <w:proofErr w:type="gramStart"/>
            <w:r w:rsidRPr="003851BB">
              <w:rPr>
                <w:b/>
                <w:bCs/>
                <w:i/>
                <w:sz w:val="22"/>
                <w:szCs w:val="22"/>
              </w:rPr>
              <w:t>оборудованных</w:t>
            </w:r>
            <w:proofErr w:type="gramEnd"/>
            <w:r w:rsidRPr="003851BB">
              <w:rPr>
                <w:b/>
                <w:bCs/>
                <w:i/>
                <w:sz w:val="22"/>
                <w:szCs w:val="22"/>
              </w:rPr>
              <w:t xml:space="preserve"> от общего кол-ва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472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179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38%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Образование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794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238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30%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Соц. защита населения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126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83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66%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Физкультура и спорт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227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88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39%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563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253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45%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Транспорт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1717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571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33%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Связь и информация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355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164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46%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 xml:space="preserve">Жилой фонд 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6477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502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8%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Потребительский рынок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8879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3872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44%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199A" w:rsidRPr="00061E0D" w:rsidRDefault="0021199A" w:rsidP="009B1A98">
            <w:pPr>
              <w:widowControl w:val="0"/>
              <w:rPr>
                <w:i/>
                <w:sz w:val="22"/>
                <w:szCs w:val="22"/>
              </w:rPr>
            </w:pPr>
            <w:r w:rsidRPr="00061E0D">
              <w:rPr>
                <w:i/>
                <w:sz w:val="22"/>
                <w:szCs w:val="22"/>
              </w:rPr>
              <w:t>Места приложения труда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061E0D" w:rsidRDefault="0021199A" w:rsidP="009B1A98">
            <w:pPr>
              <w:widowControl w:val="0"/>
              <w:jc w:val="center"/>
              <w:rPr>
                <w:bCs/>
                <w:i/>
                <w:sz w:val="22"/>
                <w:szCs w:val="22"/>
              </w:rPr>
            </w:pPr>
            <w:r w:rsidRPr="00061E0D">
              <w:rPr>
                <w:bCs/>
                <w:i/>
                <w:sz w:val="22"/>
                <w:szCs w:val="22"/>
              </w:rPr>
              <w:t>72%</w:t>
            </w:r>
          </w:p>
        </w:tc>
      </w:tr>
      <w:tr w:rsidR="0021199A" w:rsidRPr="00061E0D" w:rsidTr="005D0390">
        <w:trPr>
          <w:trHeight w:val="3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99A" w:rsidRPr="003851BB" w:rsidRDefault="0021199A" w:rsidP="009B1A98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bookmarkStart w:id="0" w:name="_GoBack" w:colFirst="0" w:colLast="3"/>
            <w:r w:rsidRPr="003851BB">
              <w:rPr>
                <w:b/>
                <w:bCs/>
                <w:i/>
                <w:sz w:val="22"/>
                <w:szCs w:val="22"/>
              </w:rPr>
              <w:t>ВСЕГО по области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3851BB" w:rsidRDefault="0021199A" w:rsidP="009B1A98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1BB">
              <w:rPr>
                <w:b/>
                <w:bCs/>
                <w:i/>
                <w:sz w:val="22"/>
                <w:szCs w:val="22"/>
              </w:rPr>
              <w:t>19705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99A" w:rsidRPr="003851BB" w:rsidRDefault="0021199A" w:rsidP="009B1A98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1BB">
              <w:rPr>
                <w:b/>
                <w:bCs/>
                <w:i/>
                <w:sz w:val="22"/>
                <w:szCs w:val="22"/>
              </w:rPr>
              <w:t>6018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1199A" w:rsidRPr="003851BB" w:rsidRDefault="0021199A" w:rsidP="009B1A98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851BB">
              <w:rPr>
                <w:b/>
                <w:bCs/>
                <w:i/>
                <w:sz w:val="22"/>
                <w:szCs w:val="22"/>
              </w:rPr>
              <w:t>31%</w:t>
            </w:r>
          </w:p>
        </w:tc>
      </w:tr>
    </w:tbl>
    <w:bookmarkEnd w:id="0"/>
    <w:p w:rsidR="0021199A" w:rsidRPr="00061E0D" w:rsidRDefault="0021199A" w:rsidP="009B1A9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061E0D">
        <w:rPr>
          <w:rFonts w:eastAsia="Calibri"/>
          <w:sz w:val="22"/>
          <w:szCs w:val="22"/>
        </w:rPr>
        <w:t xml:space="preserve">Наименьший показатель по доступности объектов социальной инфраструктуры в Ульяновском (13%), </w:t>
      </w:r>
      <w:proofErr w:type="spellStart"/>
      <w:r w:rsidRPr="00061E0D">
        <w:rPr>
          <w:rFonts w:eastAsia="Calibri"/>
          <w:sz w:val="22"/>
          <w:szCs w:val="22"/>
        </w:rPr>
        <w:t>Тереньгульском</w:t>
      </w:r>
      <w:proofErr w:type="spellEnd"/>
      <w:r w:rsidRPr="00061E0D">
        <w:rPr>
          <w:rFonts w:eastAsia="Calibri"/>
          <w:sz w:val="22"/>
          <w:szCs w:val="22"/>
        </w:rPr>
        <w:t xml:space="preserve"> (14%), Сурском (16%), </w:t>
      </w:r>
      <w:proofErr w:type="spellStart"/>
      <w:r w:rsidRPr="00061E0D">
        <w:rPr>
          <w:rFonts w:eastAsia="Calibri"/>
          <w:sz w:val="22"/>
          <w:szCs w:val="22"/>
        </w:rPr>
        <w:t>Базарносызганском</w:t>
      </w:r>
      <w:proofErr w:type="spellEnd"/>
      <w:r w:rsidRPr="00061E0D">
        <w:rPr>
          <w:rFonts w:eastAsia="Calibri"/>
          <w:sz w:val="22"/>
          <w:szCs w:val="22"/>
        </w:rPr>
        <w:t xml:space="preserve"> (25%) районах Ульяновской области.</w:t>
      </w:r>
    </w:p>
    <w:p w:rsidR="0021199A" w:rsidRDefault="0021199A" w:rsidP="009B1A98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061E0D">
        <w:rPr>
          <w:rFonts w:eastAsia="Calibri"/>
          <w:sz w:val="22"/>
          <w:szCs w:val="22"/>
        </w:rPr>
        <w:t xml:space="preserve">Лучшие показатели в </w:t>
      </w:r>
      <w:proofErr w:type="spellStart"/>
      <w:r w:rsidRPr="00061E0D">
        <w:rPr>
          <w:rFonts w:eastAsia="Calibri"/>
          <w:sz w:val="22"/>
          <w:szCs w:val="22"/>
        </w:rPr>
        <w:t>Старокулаткинском</w:t>
      </w:r>
      <w:proofErr w:type="spellEnd"/>
      <w:r w:rsidRPr="00061E0D">
        <w:rPr>
          <w:rFonts w:eastAsia="Calibri"/>
          <w:sz w:val="22"/>
          <w:szCs w:val="22"/>
        </w:rPr>
        <w:t xml:space="preserve"> (77%), </w:t>
      </w:r>
      <w:proofErr w:type="spellStart"/>
      <w:r w:rsidRPr="00061E0D">
        <w:rPr>
          <w:rFonts w:eastAsia="Calibri"/>
          <w:sz w:val="22"/>
          <w:szCs w:val="22"/>
        </w:rPr>
        <w:t>Вешкаймском</w:t>
      </w:r>
      <w:proofErr w:type="spellEnd"/>
      <w:r w:rsidRPr="00061E0D">
        <w:rPr>
          <w:rFonts w:eastAsia="Calibri"/>
          <w:sz w:val="22"/>
          <w:szCs w:val="22"/>
        </w:rPr>
        <w:t xml:space="preserve"> (67%), </w:t>
      </w:r>
      <w:proofErr w:type="spellStart"/>
      <w:r w:rsidRPr="00061E0D">
        <w:rPr>
          <w:rFonts w:eastAsia="Calibri"/>
          <w:sz w:val="22"/>
          <w:szCs w:val="22"/>
        </w:rPr>
        <w:t>Цильнинском</w:t>
      </w:r>
      <w:proofErr w:type="spellEnd"/>
      <w:r w:rsidRPr="00061E0D">
        <w:rPr>
          <w:rFonts w:eastAsia="Calibri"/>
          <w:sz w:val="22"/>
          <w:szCs w:val="22"/>
        </w:rPr>
        <w:t xml:space="preserve"> (58%), </w:t>
      </w:r>
      <w:proofErr w:type="spellStart"/>
      <w:r w:rsidRPr="00061E0D">
        <w:rPr>
          <w:rFonts w:eastAsia="Calibri"/>
          <w:sz w:val="22"/>
          <w:szCs w:val="22"/>
        </w:rPr>
        <w:t>Карсунском</w:t>
      </w:r>
      <w:proofErr w:type="spellEnd"/>
      <w:r w:rsidRPr="00061E0D">
        <w:rPr>
          <w:rFonts w:eastAsia="Calibri"/>
          <w:sz w:val="22"/>
          <w:szCs w:val="22"/>
        </w:rPr>
        <w:t xml:space="preserve"> (52%), </w:t>
      </w:r>
      <w:proofErr w:type="spellStart"/>
      <w:r w:rsidRPr="00061E0D">
        <w:rPr>
          <w:rFonts w:eastAsia="Calibri"/>
          <w:sz w:val="22"/>
          <w:szCs w:val="22"/>
        </w:rPr>
        <w:t>Кузоватовском</w:t>
      </w:r>
      <w:proofErr w:type="spellEnd"/>
      <w:r w:rsidRPr="00061E0D">
        <w:rPr>
          <w:rFonts w:eastAsia="Calibri"/>
          <w:sz w:val="22"/>
          <w:szCs w:val="22"/>
        </w:rPr>
        <w:t xml:space="preserve"> (47%), Николаевском (47%), </w:t>
      </w:r>
      <w:proofErr w:type="spellStart"/>
      <w:r w:rsidRPr="00061E0D">
        <w:rPr>
          <w:rFonts w:eastAsia="Calibri"/>
          <w:sz w:val="22"/>
          <w:szCs w:val="22"/>
        </w:rPr>
        <w:t>Новомалыклинском</w:t>
      </w:r>
      <w:proofErr w:type="spellEnd"/>
      <w:r w:rsidRPr="00061E0D">
        <w:rPr>
          <w:rFonts w:eastAsia="Calibri"/>
          <w:sz w:val="22"/>
          <w:szCs w:val="22"/>
        </w:rPr>
        <w:t xml:space="preserve"> (48%) районах.</w:t>
      </w:r>
    </w:p>
    <w:p w:rsidR="002466BB" w:rsidRPr="00061E0D" w:rsidRDefault="002466BB" w:rsidP="009B1A98">
      <w:pPr>
        <w:widowControl w:val="0"/>
        <w:ind w:firstLine="709"/>
        <w:jc w:val="both"/>
        <w:rPr>
          <w:rFonts w:eastAsia="Calibri"/>
          <w:sz w:val="22"/>
          <w:szCs w:val="22"/>
        </w:rPr>
      </w:pPr>
    </w:p>
    <w:p w:rsidR="006F668B" w:rsidRDefault="006F668B" w:rsidP="009B1A98">
      <w:pPr>
        <w:widowControl w:val="0"/>
        <w:spacing w:line="360" w:lineRule="auto"/>
        <w:ind w:firstLine="709"/>
        <w:jc w:val="both"/>
        <w:rPr>
          <w:rFonts w:eastAsia="Calibri"/>
          <w:i/>
          <w:sz w:val="22"/>
          <w:szCs w:val="22"/>
        </w:rPr>
      </w:pPr>
      <w:r w:rsidRPr="00061E0D">
        <w:rPr>
          <w:rFonts w:eastAsia="Calibri"/>
        </w:rPr>
        <w:t xml:space="preserve">В целях оказания содействия инвалидам по адаптации жилых помещений  в муниципальных образованиях действует </w:t>
      </w:r>
      <w:r w:rsidRPr="002466BB">
        <w:rPr>
          <w:rFonts w:eastAsia="Calibri"/>
          <w:b/>
        </w:rPr>
        <w:t>программа «Забота»,</w:t>
      </w:r>
      <w:r w:rsidRPr="00061E0D">
        <w:rPr>
          <w:rFonts w:eastAsia="Calibri"/>
        </w:rPr>
        <w:t xml:space="preserve"> в рамках которой на заявительной основе гражданам предоставляется адресная материальная помощь на проведение необходимых работ и организовывается их проведение. </w:t>
      </w:r>
      <w:proofErr w:type="gramStart"/>
      <w:r w:rsidRPr="00061E0D">
        <w:rPr>
          <w:rFonts w:eastAsia="Calibri"/>
        </w:rPr>
        <w:t xml:space="preserve">Так, </w:t>
      </w:r>
      <w:r w:rsidR="007A3BDB">
        <w:rPr>
          <w:rFonts w:eastAsia="Calibri"/>
        </w:rPr>
        <w:t xml:space="preserve">за </w:t>
      </w:r>
      <w:r w:rsidR="00F71CBA">
        <w:rPr>
          <w:rFonts w:eastAsia="Calibri"/>
        </w:rPr>
        <w:t>10</w:t>
      </w:r>
      <w:r w:rsidR="007A3BDB">
        <w:rPr>
          <w:rFonts w:eastAsia="Calibri"/>
        </w:rPr>
        <w:t xml:space="preserve"> месяцев </w:t>
      </w:r>
      <w:r w:rsidRPr="00061E0D">
        <w:rPr>
          <w:rFonts w:eastAsia="Calibri"/>
        </w:rPr>
        <w:t xml:space="preserve"> 2016 года на указанные цели из средств местных бюджетов муниципальных образований </w:t>
      </w:r>
      <w:r w:rsidRPr="00061E0D">
        <w:rPr>
          <w:rFonts w:eastAsia="Calibri"/>
        </w:rPr>
        <w:lastRenderedPageBreak/>
        <w:t xml:space="preserve">Ульяновской области выделено </w:t>
      </w:r>
      <w:r w:rsidR="004C1D64">
        <w:rPr>
          <w:rFonts w:eastAsia="Calibri"/>
        </w:rPr>
        <w:t>1667</w:t>
      </w:r>
      <w:r w:rsidRPr="00061E0D">
        <w:rPr>
          <w:rFonts w:eastAsia="Calibri"/>
        </w:rPr>
        <w:t xml:space="preserve"> тыс. рублей, </w:t>
      </w:r>
      <w:r w:rsidRPr="00061E0D">
        <w:rPr>
          <w:rFonts w:eastAsia="Calibri"/>
          <w:i/>
          <w:sz w:val="22"/>
          <w:szCs w:val="22"/>
        </w:rPr>
        <w:t xml:space="preserve">из них </w:t>
      </w:r>
      <w:r w:rsidR="004C1D64">
        <w:rPr>
          <w:rFonts w:eastAsia="Calibri"/>
          <w:i/>
          <w:sz w:val="22"/>
          <w:szCs w:val="22"/>
        </w:rPr>
        <w:t>1541,25</w:t>
      </w:r>
      <w:r w:rsidRPr="00061E0D">
        <w:rPr>
          <w:rFonts w:eastAsia="Calibri"/>
          <w:i/>
          <w:sz w:val="22"/>
          <w:szCs w:val="22"/>
        </w:rPr>
        <w:t xml:space="preserve"> тыс. рублей – МО «город Ульяновск», 50 тыс. рублей – МО «</w:t>
      </w:r>
      <w:proofErr w:type="spellStart"/>
      <w:r w:rsidRPr="00061E0D">
        <w:rPr>
          <w:rFonts w:eastAsia="Calibri"/>
          <w:i/>
          <w:sz w:val="22"/>
          <w:szCs w:val="22"/>
        </w:rPr>
        <w:t>Цильнинский</w:t>
      </w:r>
      <w:proofErr w:type="spellEnd"/>
      <w:r w:rsidRPr="00061E0D">
        <w:rPr>
          <w:rFonts w:eastAsia="Calibri"/>
          <w:i/>
          <w:sz w:val="22"/>
          <w:szCs w:val="22"/>
        </w:rPr>
        <w:t xml:space="preserve"> район», по 12 тыс. рублей – МО «</w:t>
      </w:r>
      <w:proofErr w:type="spellStart"/>
      <w:r w:rsidRPr="00061E0D">
        <w:rPr>
          <w:rFonts w:eastAsia="Calibri"/>
          <w:i/>
          <w:sz w:val="22"/>
          <w:szCs w:val="22"/>
        </w:rPr>
        <w:t>Барышский</w:t>
      </w:r>
      <w:proofErr w:type="spellEnd"/>
      <w:r w:rsidRPr="00061E0D">
        <w:rPr>
          <w:rFonts w:eastAsia="Calibri"/>
          <w:i/>
          <w:sz w:val="22"/>
          <w:szCs w:val="22"/>
        </w:rPr>
        <w:t xml:space="preserve"> район» и «Новоспасский район», 10 тыс. рублей – МО «</w:t>
      </w:r>
      <w:proofErr w:type="spellStart"/>
      <w:r w:rsidRPr="00061E0D">
        <w:rPr>
          <w:rFonts w:eastAsia="Calibri"/>
          <w:i/>
          <w:sz w:val="22"/>
          <w:szCs w:val="22"/>
        </w:rPr>
        <w:t>Сурскй</w:t>
      </w:r>
      <w:proofErr w:type="spellEnd"/>
      <w:r w:rsidRPr="00061E0D">
        <w:rPr>
          <w:rFonts w:eastAsia="Calibri"/>
          <w:i/>
          <w:sz w:val="22"/>
          <w:szCs w:val="22"/>
        </w:rPr>
        <w:t xml:space="preserve"> район».</w:t>
      </w:r>
      <w:proofErr w:type="gramEnd"/>
    </w:p>
    <w:p w:rsidR="002466BB" w:rsidRPr="00061E0D" w:rsidRDefault="002466BB" w:rsidP="009B1A98">
      <w:pPr>
        <w:widowControl w:val="0"/>
        <w:spacing w:line="360" w:lineRule="auto"/>
        <w:ind w:firstLine="709"/>
        <w:jc w:val="both"/>
        <w:rPr>
          <w:rFonts w:eastAsia="Calibri"/>
          <w:i/>
          <w:sz w:val="22"/>
          <w:szCs w:val="22"/>
        </w:rPr>
      </w:pPr>
    </w:p>
    <w:p w:rsidR="006F668B" w:rsidRDefault="006F668B" w:rsidP="00FB3DC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061E0D">
        <w:rPr>
          <w:rFonts w:ascii="Times New Roman" w:hAnsi="Times New Roman"/>
        </w:rPr>
        <w:t xml:space="preserve">С целью обеспечения транспортной доступности с  2011 года в городе Ульяновске и городе Димитровграде организована </w:t>
      </w:r>
      <w:r w:rsidRPr="002466BB">
        <w:rPr>
          <w:rFonts w:ascii="Times New Roman" w:hAnsi="Times New Roman"/>
          <w:b/>
        </w:rPr>
        <w:t>работа службы «Социальное такси»</w:t>
      </w:r>
      <w:r w:rsidR="00EF6BBE" w:rsidRPr="002466BB">
        <w:rPr>
          <w:rFonts w:ascii="Times New Roman" w:hAnsi="Times New Roman"/>
          <w:b/>
          <w:lang w:val="ru-RU"/>
        </w:rPr>
        <w:t>.</w:t>
      </w:r>
      <w:r w:rsidR="00EF6BBE">
        <w:rPr>
          <w:rFonts w:ascii="Times New Roman" w:hAnsi="Times New Roman"/>
          <w:lang w:val="ru-RU"/>
        </w:rPr>
        <w:t xml:space="preserve"> Обеспечивают работу «Социального такси»  7 автомобилей в г. Ульяновск и 2 – в г. Димитровграде</w:t>
      </w:r>
      <w:r w:rsidRPr="00061E0D">
        <w:rPr>
          <w:rFonts w:ascii="Times New Roman" w:hAnsi="Times New Roman"/>
        </w:rPr>
        <w:t>.</w:t>
      </w:r>
      <w:r w:rsidRPr="00061E0D">
        <w:rPr>
          <w:rFonts w:ascii="Times New Roman" w:hAnsi="Times New Roman"/>
          <w:lang w:val="ru-RU"/>
        </w:rPr>
        <w:t xml:space="preserve"> </w:t>
      </w:r>
      <w:r w:rsidR="00EF6BBE">
        <w:rPr>
          <w:rFonts w:ascii="Times New Roman" w:hAnsi="Times New Roman"/>
          <w:lang w:val="ru-RU"/>
        </w:rPr>
        <w:t xml:space="preserve">Ежегодно в городе Ульяновске исполняется 6900 заявок, в городе Димитровграде – 370 заявок. Также в 2016 году в рамках программы «Доступная среда» </w:t>
      </w:r>
      <w:r w:rsidR="00904BFD">
        <w:rPr>
          <w:rFonts w:ascii="Times New Roman" w:hAnsi="Times New Roman"/>
          <w:lang w:val="ru-RU"/>
        </w:rPr>
        <w:t>запланировано приобретение</w:t>
      </w:r>
      <w:r w:rsidR="00EF6BBE">
        <w:rPr>
          <w:rFonts w:ascii="Times New Roman" w:hAnsi="Times New Roman"/>
          <w:lang w:val="ru-RU"/>
        </w:rPr>
        <w:t xml:space="preserve"> </w:t>
      </w:r>
      <w:r w:rsidR="00904BFD">
        <w:rPr>
          <w:rFonts w:ascii="Times New Roman" w:hAnsi="Times New Roman"/>
          <w:lang w:val="ru-RU"/>
        </w:rPr>
        <w:t>5 автомобилей для перевозки инвалидов в службу «Социальное такси».</w:t>
      </w:r>
    </w:p>
    <w:p w:rsidR="002466BB" w:rsidRPr="00061E0D" w:rsidRDefault="002466BB" w:rsidP="00FB3DC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</w:rPr>
      </w:pPr>
    </w:p>
    <w:p w:rsidR="006F668B" w:rsidRPr="00061E0D" w:rsidRDefault="006F668B" w:rsidP="006F668B">
      <w:pPr>
        <w:spacing w:line="360" w:lineRule="auto"/>
        <w:ind w:firstLine="709"/>
        <w:jc w:val="both"/>
      </w:pPr>
      <w:r w:rsidRPr="00061E0D">
        <w:t xml:space="preserve">Кроме того, гражданам, страдающим почечной недостаточностью,  оказывается содействие в транспортировке для проведения регулярных процедур  гемодиализа. </w:t>
      </w:r>
      <w:r w:rsidR="00D62147">
        <w:t xml:space="preserve">За </w:t>
      </w:r>
      <w:r w:rsidR="0010308E">
        <w:t>10</w:t>
      </w:r>
      <w:r w:rsidR="00D62147">
        <w:t xml:space="preserve"> месяцев</w:t>
      </w:r>
      <w:r w:rsidRPr="00061E0D">
        <w:t xml:space="preserve"> 2016 года за счет средств местных бюджетов муниципальных образований на указанные цели предоставлено </w:t>
      </w:r>
      <w:r w:rsidR="00D62147">
        <w:t>4159,89</w:t>
      </w:r>
      <w:r w:rsidRPr="00061E0D">
        <w:t xml:space="preserve"> тыс. рублей.</w:t>
      </w:r>
      <w:r w:rsidR="00904BFD">
        <w:t xml:space="preserve"> Кроме того, перевозк</w:t>
      </w:r>
      <w:r w:rsidR="00EF7625">
        <w:t>а</w:t>
      </w:r>
      <w:r w:rsidR="00904BFD">
        <w:t xml:space="preserve"> граждан до медицинских организаций осуществля</w:t>
      </w:r>
      <w:r w:rsidR="00EF7625">
        <w:t>ется автомобилями скорой медицинской помощи.</w:t>
      </w:r>
      <w:r w:rsidR="00904BFD">
        <w:t xml:space="preserve"> </w:t>
      </w:r>
    </w:p>
    <w:p w:rsidR="002B1ADC" w:rsidRPr="00061E0D" w:rsidRDefault="002B1ADC" w:rsidP="006F668B">
      <w:pPr>
        <w:spacing w:line="360" w:lineRule="auto"/>
        <w:ind w:firstLine="709"/>
        <w:jc w:val="both"/>
      </w:pPr>
    </w:p>
    <w:sectPr w:rsidR="002B1ADC" w:rsidRPr="00061E0D" w:rsidSect="00AC458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D5" w:rsidRDefault="003820D5" w:rsidP="00AC458A">
      <w:r>
        <w:separator/>
      </w:r>
    </w:p>
  </w:endnote>
  <w:endnote w:type="continuationSeparator" w:id="0">
    <w:p w:rsidR="003820D5" w:rsidRDefault="003820D5" w:rsidP="00AC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D5" w:rsidRDefault="003820D5" w:rsidP="00AC458A">
      <w:r>
        <w:separator/>
      </w:r>
    </w:p>
  </w:footnote>
  <w:footnote w:type="continuationSeparator" w:id="0">
    <w:p w:rsidR="003820D5" w:rsidRDefault="003820D5" w:rsidP="00AC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166926"/>
      <w:docPartObj>
        <w:docPartGallery w:val="Page Numbers (Top of Page)"/>
        <w:docPartUnique/>
      </w:docPartObj>
    </w:sdtPr>
    <w:sdtEndPr/>
    <w:sdtContent>
      <w:p w:rsidR="00152FCF" w:rsidRDefault="00152F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B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004"/>
    <w:multiLevelType w:val="multilevel"/>
    <w:tmpl w:val="A66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D"/>
    <w:rsid w:val="000104C3"/>
    <w:rsid w:val="000106E5"/>
    <w:rsid w:val="000179EB"/>
    <w:rsid w:val="000201C8"/>
    <w:rsid w:val="000202D7"/>
    <w:rsid w:val="00024C4D"/>
    <w:rsid w:val="00035EAE"/>
    <w:rsid w:val="00061E0D"/>
    <w:rsid w:val="000774D7"/>
    <w:rsid w:val="000A3883"/>
    <w:rsid w:val="000A79DA"/>
    <w:rsid w:val="000B3727"/>
    <w:rsid w:val="000C57D1"/>
    <w:rsid w:val="000C7B3B"/>
    <w:rsid w:val="000D28CD"/>
    <w:rsid w:val="000E1EF9"/>
    <w:rsid w:val="000F5691"/>
    <w:rsid w:val="0010308E"/>
    <w:rsid w:val="00117B55"/>
    <w:rsid w:val="00122A5D"/>
    <w:rsid w:val="00126281"/>
    <w:rsid w:val="00136258"/>
    <w:rsid w:val="00152FCF"/>
    <w:rsid w:val="001573A9"/>
    <w:rsid w:val="00183B45"/>
    <w:rsid w:val="0019088D"/>
    <w:rsid w:val="00197236"/>
    <w:rsid w:val="001A0E01"/>
    <w:rsid w:val="001B7CB0"/>
    <w:rsid w:val="001C1D3C"/>
    <w:rsid w:val="001E3B58"/>
    <w:rsid w:val="001E6B5C"/>
    <w:rsid w:val="001F7242"/>
    <w:rsid w:val="00200636"/>
    <w:rsid w:val="002066FD"/>
    <w:rsid w:val="0021199A"/>
    <w:rsid w:val="00217B5E"/>
    <w:rsid w:val="00233863"/>
    <w:rsid w:val="00234CDF"/>
    <w:rsid w:val="00235CA3"/>
    <w:rsid w:val="002466BB"/>
    <w:rsid w:val="00250A13"/>
    <w:rsid w:val="00265E42"/>
    <w:rsid w:val="00273E68"/>
    <w:rsid w:val="002770E0"/>
    <w:rsid w:val="002935C6"/>
    <w:rsid w:val="002B0714"/>
    <w:rsid w:val="002B1638"/>
    <w:rsid w:val="002B1ADC"/>
    <w:rsid w:val="002B5479"/>
    <w:rsid w:val="002B5A57"/>
    <w:rsid w:val="00314110"/>
    <w:rsid w:val="003149F4"/>
    <w:rsid w:val="00326744"/>
    <w:rsid w:val="00337247"/>
    <w:rsid w:val="0034228B"/>
    <w:rsid w:val="003538FC"/>
    <w:rsid w:val="003579A7"/>
    <w:rsid w:val="00362843"/>
    <w:rsid w:val="00363FB4"/>
    <w:rsid w:val="00375399"/>
    <w:rsid w:val="003820D5"/>
    <w:rsid w:val="003823B9"/>
    <w:rsid w:val="00382D7F"/>
    <w:rsid w:val="003851BB"/>
    <w:rsid w:val="00397CBD"/>
    <w:rsid w:val="003C3A8B"/>
    <w:rsid w:val="003C4927"/>
    <w:rsid w:val="003C6561"/>
    <w:rsid w:val="003E7722"/>
    <w:rsid w:val="003F0E01"/>
    <w:rsid w:val="00405BAD"/>
    <w:rsid w:val="00406E44"/>
    <w:rsid w:val="00410EBA"/>
    <w:rsid w:val="00421C9C"/>
    <w:rsid w:val="004435FD"/>
    <w:rsid w:val="0046264E"/>
    <w:rsid w:val="00464BAE"/>
    <w:rsid w:val="00484A73"/>
    <w:rsid w:val="004864B4"/>
    <w:rsid w:val="00490B50"/>
    <w:rsid w:val="004A3238"/>
    <w:rsid w:val="004C1D64"/>
    <w:rsid w:val="004E03C3"/>
    <w:rsid w:val="004F15D8"/>
    <w:rsid w:val="004F2CC7"/>
    <w:rsid w:val="00514EF4"/>
    <w:rsid w:val="0052006C"/>
    <w:rsid w:val="0052291C"/>
    <w:rsid w:val="0052644B"/>
    <w:rsid w:val="00533194"/>
    <w:rsid w:val="00536774"/>
    <w:rsid w:val="00544B46"/>
    <w:rsid w:val="00555321"/>
    <w:rsid w:val="005567FF"/>
    <w:rsid w:val="005600E9"/>
    <w:rsid w:val="0056782D"/>
    <w:rsid w:val="0057006C"/>
    <w:rsid w:val="005867F9"/>
    <w:rsid w:val="00590312"/>
    <w:rsid w:val="0059145B"/>
    <w:rsid w:val="00593848"/>
    <w:rsid w:val="005A27C5"/>
    <w:rsid w:val="005A458A"/>
    <w:rsid w:val="005B0AD7"/>
    <w:rsid w:val="005B0BB4"/>
    <w:rsid w:val="005B1974"/>
    <w:rsid w:val="005D0390"/>
    <w:rsid w:val="005E392D"/>
    <w:rsid w:val="005E3DC0"/>
    <w:rsid w:val="006074F8"/>
    <w:rsid w:val="006263F3"/>
    <w:rsid w:val="0063368E"/>
    <w:rsid w:val="006360A2"/>
    <w:rsid w:val="00645F1D"/>
    <w:rsid w:val="0065104B"/>
    <w:rsid w:val="006520D4"/>
    <w:rsid w:val="00656C9B"/>
    <w:rsid w:val="0066191D"/>
    <w:rsid w:val="006743F3"/>
    <w:rsid w:val="00691063"/>
    <w:rsid w:val="0069496C"/>
    <w:rsid w:val="006A0DE2"/>
    <w:rsid w:val="006A6E46"/>
    <w:rsid w:val="006F0448"/>
    <w:rsid w:val="006F668B"/>
    <w:rsid w:val="007212FE"/>
    <w:rsid w:val="00740D95"/>
    <w:rsid w:val="00742F6E"/>
    <w:rsid w:val="00781EF1"/>
    <w:rsid w:val="00784F8C"/>
    <w:rsid w:val="00787136"/>
    <w:rsid w:val="00787E23"/>
    <w:rsid w:val="007A3BDB"/>
    <w:rsid w:val="007C64F1"/>
    <w:rsid w:val="007D7314"/>
    <w:rsid w:val="007E5BDC"/>
    <w:rsid w:val="007E6F86"/>
    <w:rsid w:val="008044F8"/>
    <w:rsid w:val="00807578"/>
    <w:rsid w:val="008165E0"/>
    <w:rsid w:val="00817FBD"/>
    <w:rsid w:val="0082653A"/>
    <w:rsid w:val="00827AE7"/>
    <w:rsid w:val="008553EE"/>
    <w:rsid w:val="00861431"/>
    <w:rsid w:val="0086687E"/>
    <w:rsid w:val="00884E03"/>
    <w:rsid w:val="008A3DDF"/>
    <w:rsid w:val="008B5E8A"/>
    <w:rsid w:val="008B61C1"/>
    <w:rsid w:val="008D6A14"/>
    <w:rsid w:val="008F61BD"/>
    <w:rsid w:val="00904BFD"/>
    <w:rsid w:val="00905C8B"/>
    <w:rsid w:val="00906EFF"/>
    <w:rsid w:val="00917F3F"/>
    <w:rsid w:val="00923B5E"/>
    <w:rsid w:val="00925DD1"/>
    <w:rsid w:val="009623E0"/>
    <w:rsid w:val="0097136B"/>
    <w:rsid w:val="00977976"/>
    <w:rsid w:val="00980AA5"/>
    <w:rsid w:val="009824BF"/>
    <w:rsid w:val="00983846"/>
    <w:rsid w:val="009851FA"/>
    <w:rsid w:val="009A660D"/>
    <w:rsid w:val="009A69CF"/>
    <w:rsid w:val="009A7A6E"/>
    <w:rsid w:val="009B1A98"/>
    <w:rsid w:val="009F1BB1"/>
    <w:rsid w:val="009F5BD1"/>
    <w:rsid w:val="009F6809"/>
    <w:rsid w:val="009F7D00"/>
    <w:rsid w:val="00A01165"/>
    <w:rsid w:val="00A0512A"/>
    <w:rsid w:val="00A3156C"/>
    <w:rsid w:val="00A36515"/>
    <w:rsid w:val="00A674B0"/>
    <w:rsid w:val="00A725E1"/>
    <w:rsid w:val="00A80CBE"/>
    <w:rsid w:val="00A83CAB"/>
    <w:rsid w:val="00A87C0C"/>
    <w:rsid w:val="00A94176"/>
    <w:rsid w:val="00AC3CA1"/>
    <w:rsid w:val="00AC458A"/>
    <w:rsid w:val="00AD4886"/>
    <w:rsid w:val="00B0127C"/>
    <w:rsid w:val="00B01A13"/>
    <w:rsid w:val="00B1137D"/>
    <w:rsid w:val="00B20261"/>
    <w:rsid w:val="00B21940"/>
    <w:rsid w:val="00B22C28"/>
    <w:rsid w:val="00B2764E"/>
    <w:rsid w:val="00B628ED"/>
    <w:rsid w:val="00B67649"/>
    <w:rsid w:val="00B82F7A"/>
    <w:rsid w:val="00B87B6E"/>
    <w:rsid w:val="00B909E7"/>
    <w:rsid w:val="00BA18B3"/>
    <w:rsid w:val="00BB5AE6"/>
    <w:rsid w:val="00BB6D9B"/>
    <w:rsid w:val="00BC0DC5"/>
    <w:rsid w:val="00BC4836"/>
    <w:rsid w:val="00BD3EA9"/>
    <w:rsid w:val="00BE3594"/>
    <w:rsid w:val="00BE59E4"/>
    <w:rsid w:val="00BF045B"/>
    <w:rsid w:val="00BF70C1"/>
    <w:rsid w:val="00C04BC7"/>
    <w:rsid w:val="00C050D1"/>
    <w:rsid w:val="00C122BC"/>
    <w:rsid w:val="00C25CDD"/>
    <w:rsid w:val="00C41EA0"/>
    <w:rsid w:val="00C45F15"/>
    <w:rsid w:val="00C51120"/>
    <w:rsid w:val="00C54F18"/>
    <w:rsid w:val="00C5675B"/>
    <w:rsid w:val="00C602C0"/>
    <w:rsid w:val="00C613A3"/>
    <w:rsid w:val="00C716A2"/>
    <w:rsid w:val="00C8216C"/>
    <w:rsid w:val="00C83582"/>
    <w:rsid w:val="00C91603"/>
    <w:rsid w:val="00CB449A"/>
    <w:rsid w:val="00CB7369"/>
    <w:rsid w:val="00CD1382"/>
    <w:rsid w:val="00CD26AF"/>
    <w:rsid w:val="00CD2843"/>
    <w:rsid w:val="00CF4C5A"/>
    <w:rsid w:val="00D119E9"/>
    <w:rsid w:val="00D13F13"/>
    <w:rsid w:val="00D17340"/>
    <w:rsid w:val="00D21AC6"/>
    <w:rsid w:val="00D27CBF"/>
    <w:rsid w:val="00D41EF1"/>
    <w:rsid w:val="00D446DC"/>
    <w:rsid w:val="00D46EF5"/>
    <w:rsid w:val="00D52165"/>
    <w:rsid w:val="00D62147"/>
    <w:rsid w:val="00D721A8"/>
    <w:rsid w:val="00D87076"/>
    <w:rsid w:val="00DC4E71"/>
    <w:rsid w:val="00DD05AF"/>
    <w:rsid w:val="00DE6495"/>
    <w:rsid w:val="00DF0A81"/>
    <w:rsid w:val="00E03EEB"/>
    <w:rsid w:val="00E044EC"/>
    <w:rsid w:val="00E13461"/>
    <w:rsid w:val="00E21934"/>
    <w:rsid w:val="00E54A2B"/>
    <w:rsid w:val="00E60C5E"/>
    <w:rsid w:val="00E63970"/>
    <w:rsid w:val="00E705C3"/>
    <w:rsid w:val="00E7548B"/>
    <w:rsid w:val="00E845B3"/>
    <w:rsid w:val="00E86817"/>
    <w:rsid w:val="00E936EB"/>
    <w:rsid w:val="00E93A9E"/>
    <w:rsid w:val="00EE51F3"/>
    <w:rsid w:val="00EF3163"/>
    <w:rsid w:val="00EF690B"/>
    <w:rsid w:val="00EF6BBE"/>
    <w:rsid w:val="00EF7625"/>
    <w:rsid w:val="00F01E18"/>
    <w:rsid w:val="00F031F8"/>
    <w:rsid w:val="00F07BE1"/>
    <w:rsid w:val="00F1741E"/>
    <w:rsid w:val="00F20ECD"/>
    <w:rsid w:val="00F237FD"/>
    <w:rsid w:val="00F47A62"/>
    <w:rsid w:val="00F55B0C"/>
    <w:rsid w:val="00F64147"/>
    <w:rsid w:val="00F66B2C"/>
    <w:rsid w:val="00F676E8"/>
    <w:rsid w:val="00F71CBA"/>
    <w:rsid w:val="00FB3DC0"/>
    <w:rsid w:val="00FB761E"/>
    <w:rsid w:val="00FD3724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DC4E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1"/>
    <w:rsid w:val="00DC4E71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1">
    <w:name w:val="Основной текст1"/>
    <w:basedOn w:val="a"/>
    <w:link w:val="a3"/>
    <w:rsid w:val="00DC4E71"/>
    <w:pPr>
      <w:widowControl w:val="0"/>
      <w:shd w:val="clear" w:color="auto" w:fill="FFFFFF"/>
      <w:spacing w:line="283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C4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C4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34"/>
    <w:qFormat/>
    <w:rsid w:val="00B1137D"/>
    <w:pPr>
      <w:spacing w:after="100" w:line="276" w:lineRule="auto"/>
      <w:ind w:left="720" w:hanging="851"/>
    </w:pPr>
    <w:rPr>
      <w:rFonts w:ascii="Calibri" w:eastAsia="Calibri" w:hAnsi="Calibri"/>
      <w:lang w:val="x-none" w:eastAsia="en-US"/>
    </w:rPr>
  </w:style>
  <w:style w:type="character" w:customStyle="1" w:styleId="a9">
    <w:name w:val="Абзац списка Знак"/>
    <w:link w:val="a8"/>
    <w:uiPriority w:val="34"/>
    <w:locked/>
    <w:rsid w:val="00B1137D"/>
    <w:rPr>
      <w:rFonts w:ascii="Calibri" w:eastAsia="Calibri" w:hAnsi="Calibri" w:cs="Times New Roman"/>
      <w:sz w:val="28"/>
      <w:szCs w:val="28"/>
      <w:lang w:val="x-none"/>
    </w:rPr>
  </w:style>
  <w:style w:type="paragraph" w:customStyle="1" w:styleId="ConsPlusNormal">
    <w:name w:val="ConsPlusNormal"/>
    <w:qFormat/>
    <w:rsid w:val="00B1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B73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49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26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F64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14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0BB4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0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A27C5"/>
  </w:style>
  <w:style w:type="character" w:customStyle="1" w:styleId="nobr">
    <w:name w:val="nobr"/>
    <w:basedOn w:val="a0"/>
    <w:rsid w:val="005A2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DC4E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1"/>
    <w:rsid w:val="00DC4E71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1">
    <w:name w:val="Основной текст1"/>
    <w:basedOn w:val="a"/>
    <w:link w:val="a3"/>
    <w:rsid w:val="00DC4E71"/>
    <w:pPr>
      <w:widowControl w:val="0"/>
      <w:shd w:val="clear" w:color="auto" w:fill="FFFFFF"/>
      <w:spacing w:line="283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C4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C4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34"/>
    <w:qFormat/>
    <w:rsid w:val="00B1137D"/>
    <w:pPr>
      <w:spacing w:after="100" w:line="276" w:lineRule="auto"/>
      <w:ind w:left="720" w:hanging="851"/>
    </w:pPr>
    <w:rPr>
      <w:rFonts w:ascii="Calibri" w:eastAsia="Calibri" w:hAnsi="Calibri"/>
      <w:lang w:val="x-none" w:eastAsia="en-US"/>
    </w:rPr>
  </w:style>
  <w:style w:type="character" w:customStyle="1" w:styleId="a9">
    <w:name w:val="Абзац списка Знак"/>
    <w:link w:val="a8"/>
    <w:uiPriority w:val="34"/>
    <w:locked/>
    <w:rsid w:val="00B1137D"/>
    <w:rPr>
      <w:rFonts w:ascii="Calibri" w:eastAsia="Calibri" w:hAnsi="Calibri" w:cs="Times New Roman"/>
      <w:sz w:val="28"/>
      <w:szCs w:val="28"/>
      <w:lang w:val="x-none"/>
    </w:rPr>
  </w:style>
  <w:style w:type="paragraph" w:customStyle="1" w:styleId="ConsPlusNormal">
    <w:name w:val="ConsPlusNormal"/>
    <w:qFormat/>
    <w:rsid w:val="00B1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B73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49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26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F64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14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0BB4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0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A27C5"/>
  </w:style>
  <w:style w:type="character" w:customStyle="1" w:styleId="nobr">
    <w:name w:val="nobr"/>
    <w:basedOn w:val="a0"/>
    <w:rsid w:val="005A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D62E-112A-4AB6-A211-8985B6D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Стрелочных Ольга Викторовна</cp:lastModifiedBy>
  <cp:revision>6</cp:revision>
  <cp:lastPrinted>2016-12-05T13:31:00Z</cp:lastPrinted>
  <dcterms:created xsi:type="dcterms:W3CDTF">2016-12-09T04:47:00Z</dcterms:created>
  <dcterms:modified xsi:type="dcterms:W3CDTF">2016-12-09T04:56:00Z</dcterms:modified>
</cp:coreProperties>
</file>