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B9" w:rsidRDefault="00C708B9" w:rsidP="00C708B9">
      <w:pPr>
        <w:spacing w:after="200" w:line="276" w:lineRule="auto"/>
        <w:ind w:left="424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УТВЕРЖДЁН</w:t>
      </w:r>
    </w:p>
    <w:p w:rsidR="00C708B9" w:rsidRDefault="00C708B9" w:rsidP="00C708B9">
      <w:pPr>
        <w:ind w:left="424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распоряжением Департамента</w:t>
      </w:r>
    </w:p>
    <w:p w:rsidR="00C708B9" w:rsidRDefault="00C708B9" w:rsidP="00C708B9">
      <w:pPr>
        <w:ind w:left="424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Министерства здравоохранения, семьи</w:t>
      </w:r>
    </w:p>
    <w:p w:rsidR="00C708B9" w:rsidRDefault="00C708B9" w:rsidP="00C708B9">
      <w:pPr>
        <w:ind w:left="424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социального благополучия</w:t>
      </w:r>
    </w:p>
    <w:p w:rsidR="00C708B9" w:rsidRDefault="00C708B9" w:rsidP="00C708B9">
      <w:pPr>
        <w:ind w:left="424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Ульяновской области </w:t>
      </w:r>
    </w:p>
    <w:p w:rsidR="00C708B9" w:rsidRDefault="00C708B9" w:rsidP="00C708B9">
      <w:pPr>
        <w:ind w:left="424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Николаевскому району</w:t>
      </w:r>
    </w:p>
    <w:p w:rsidR="00C708B9" w:rsidRDefault="00C708B9" w:rsidP="00C708B9">
      <w:pPr>
        <w:ind w:left="4248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 </w:t>
      </w:r>
      <w:r>
        <w:rPr>
          <w:rFonts w:eastAsiaTheme="minorHAnsi"/>
          <w:sz w:val="28"/>
          <w:szCs w:val="28"/>
          <w:u w:val="single"/>
          <w:lang w:eastAsia="en-US"/>
        </w:rPr>
        <w:t>26.12.2016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u w:val="single"/>
          <w:lang w:eastAsia="en-US"/>
        </w:rPr>
        <w:t>105-к</w:t>
      </w:r>
    </w:p>
    <w:p w:rsidR="00C708B9" w:rsidRDefault="00C708B9" w:rsidP="00C708B9">
      <w:pPr>
        <w:jc w:val="center"/>
        <w:rPr>
          <w:b/>
        </w:rPr>
      </w:pPr>
    </w:p>
    <w:p w:rsidR="00C708B9" w:rsidRDefault="00C708B9" w:rsidP="00C708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Антикоррупционная политика Департамента Министерства здравоохранения, семьи и социального благополучия Ульяновской области по Николаевскому району</w:t>
      </w:r>
    </w:p>
    <w:p w:rsidR="00C708B9" w:rsidRDefault="00C708B9" w:rsidP="00C708B9">
      <w:pPr>
        <w:jc w:val="center"/>
      </w:pPr>
    </w:p>
    <w:p w:rsidR="00C708B9" w:rsidRDefault="00C708B9" w:rsidP="00C708B9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C708B9" w:rsidRDefault="00C708B9" w:rsidP="00C708B9">
      <w:pPr>
        <w:pStyle w:val="1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708B9" w:rsidRDefault="00C708B9" w:rsidP="00C708B9">
      <w:pPr>
        <w:pStyle w:val="1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Настоящая антикоррупционная политика (далее – политика) разработана в соответствии с законодательством Российской Федерации и Ульяновской  области о противодействии и предупреждении коррупции, и является базовым документом Департамента Министерства здравоохранения, семьи и социального благополучия Ульяновской области по Николаевскому району (далее – Департамент), представляющем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Департамента, а также соблюдение норм</w:t>
      </w:r>
      <w:proofErr w:type="gramEnd"/>
      <w:r>
        <w:rPr>
          <w:rFonts w:ascii="Times New Roman" w:hAnsi="Times New Roman"/>
          <w:sz w:val="24"/>
          <w:szCs w:val="24"/>
        </w:rPr>
        <w:t xml:space="preserve"> антикоррупционного законодательства государственными гражданскими служащими  Департамента.</w:t>
      </w:r>
    </w:p>
    <w:p w:rsidR="00C708B9" w:rsidRDefault="00C708B9" w:rsidP="00C708B9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выявлении необходимости внедрения в работу Департамента иных, наиболее эффективных положений настоящей политики или связанных с ней антикоррупционных мероприятий, либо при изменении требований законодательства Департамент осуществляет работу по пересмотру и изменению настоящей политики или антикоррупционных мероприятий.</w:t>
      </w:r>
    </w:p>
    <w:p w:rsidR="00C708B9" w:rsidRDefault="00C708B9" w:rsidP="00C708B9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основные понятия и определения:</w:t>
      </w:r>
    </w:p>
    <w:p w:rsidR="00C708B9" w:rsidRDefault="00C708B9" w:rsidP="00C708B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Коррупция</w:t>
      </w:r>
      <w:r>
        <w:rPr>
          <w:rFonts w:ascii="Times New Roman" w:hAnsi="Times New Roman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hAnsi="Times New Roman"/>
          <w:sz w:val="24"/>
          <w:szCs w:val="24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N 273-ФЗ "О противодействии коррупции");</w:t>
      </w:r>
    </w:p>
    <w:p w:rsidR="00C708B9" w:rsidRDefault="00C708B9" w:rsidP="00C708B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Противодействие коррупции </w:t>
      </w:r>
      <w:r>
        <w:rPr>
          <w:rFonts w:ascii="Times New Roman" w:hAnsi="Times New Roman"/>
          <w:sz w:val="24"/>
          <w:szCs w:val="24"/>
        </w:rPr>
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N 273-ФЗ "О противодействии коррупции"):</w:t>
      </w:r>
    </w:p>
    <w:p w:rsidR="00C708B9" w:rsidRDefault="00C708B9" w:rsidP="00C708B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708B9" w:rsidRDefault="00C708B9" w:rsidP="00C708B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708B9" w:rsidRDefault="00C708B9" w:rsidP="00C708B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C708B9" w:rsidRDefault="00C708B9" w:rsidP="00C708B9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i/>
          <w:sz w:val="24"/>
          <w:szCs w:val="24"/>
        </w:rPr>
        <w:t>Взятка</w:t>
      </w:r>
      <w:r>
        <w:rPr>
          <w:rFonts w:ascii="Times New Roman" w:hAnsi="Times New Roman"/>
          <w:sz w:val="24"/>
          <w:szCs w:val="24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C708B9" w:rsidRDefault="00C708B9" w:rsidP="00C708B9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Конфликт интересов</w:t>
      </w:r>
      <w:r>
        <w:rPr>
          <w:rFonts w:ascii="Times New Roman" w:hAnsi="Times New Roman"/>
          <w:sz w:val="24"/>
          <w:szCs w:val="24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rFonts w:ascii="Times New Roman" w:hAnsi="Times New Roman"/>
          <w:sz w:val="24"/>
          <w:szCs w:val="24"/>
        </w:rPr>
        <w:t xml:space="preserve"> (представителем организации) которой он является;</w:t>
      </w:r>
    </w:p>
    <w:p w:rsidR="00C708B9" w:rsidRDefault="00C708B9" w:rsidP="00C708B9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Личная заинтересованность работника</w:t>
      </w:r>
      <w:r>
        <w:rPr>
          <w:rFonts w:ascii="Times New Roman" w:hAnsi="Times New Roman"/>
          <w:sz w:val="24"/>
          <w:szCs w:val="24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708B9" w:rsidRDefault="00C708B9" w:rsidP="00C708B9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C708B9" w:rsidRDefault="00C708B9" w:rsidP="00C708B9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Цели и задачи антикоррупционной политики учреждения</w:t>
      </w:r>
    </w:p>
    <w:p w:rsidR="00C708B9" w:rsidRDefault="00C708B9" w:rsidP="00C708B9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8B9" w:rsidRDefault="00C708B9" w:rsidP="00C708B9">
      <w:pPr>
        <w:pStyle w:val="1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Основными целями антикоррупционной политики Департамента являются:</w:t>
      </w:r>
    </w:p>
    <w:p w:rsidR="00C708B9" w:rsidRDefault="00C708B9" w:rsidP="00C708B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предупреждение коррупции в Департаменте;</w:t>
      </w:r>
    </w:p>
    <w:p w:rsidR="00C708B9" w:rsidRDefault="00C708B9" w:rsidP="00C708B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ответственности за коррупционные проявления;</w:t>
      </w:r>
    </w:p>
    <w:p w:rsidR="00C708B9" w:rsidRDefault="00C708B9" w:rsidP="00C708B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антикоррупционного сознания у сотрудников.</w:t>
      </w:r>
    </w:p>
    <w:p w:rsidR="00C708B9" w:rsidRDefault="00C708B9" w:rsidP="00C708B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Достижение целей политики в учреждении осуществляется путем реализации следующих задач:</w:t>
      </w:r>
    </w:p>
    <w:p w:rsidR="00C708B9" w:rsidRDefault="00C708B9" w:rsidP="00C708B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сотрудников единообразного понимания позиции Департамента о неприятии коррупции в любых формах и проявлениях;</w:t>
      </w:r>
    </w:p>
    <w:p w:rsidR="00C708B9" w:rsidRDefault="00C708B9" w:rsidP="00C708B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минимизация риска вовлечения сотрудников Департамента в коррупционную деятельность;</w:t>
      </w:r>
    </w:p>
    <w:p w:rsidR="00C708B9" w:rsidRDefault="00C708B9" w:rsidP="00C708B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эффективности мер антикоррупционной политики;</w:t>
      </w:r>
    </w:p>
    <w:p w:rsidR="00C708B9" w:rsidRDefault="00C708B9" w:rsidP="00C708B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обязанности сотрудников Департамента знать и соблюдать требования настоящей политики, ключевые нормы антикоррупционного законодательства;</w:t>
      </w:r>
    </w:p>
    <w:p w:rsidR="00C708B9" w:rsidRDefault="00C708B9" w:rsidP="00C708B9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ответственности за коррупционные правонарушения во всех случаях, прямо предусмотренных нормативными правовыми актами.</w:t>
      </w:r>
    </w:p>
    <w:p w:rsidR="00C708B9" w:rsidRDefault="00C708B9" w:rsidP="00C708B9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C708B9" w:rsidRDefault="00C708B9" w:rsidP="00C708B9">
      <w:pPr>
        <w:pStyle w:val="1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антикоррупционной политики</w:t>
      </w:r>
    </w:p>
    <w:p w:rsidR="00C708B9" w:rsidRDefault="00C708B9" w:rsidP="00C708B9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C708B9" w:rsidRDefault="00C708B9" w:rsidP="00C708B9">
      <w:pPr>
        <w:pStyle w:val="1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Принцип соответствия политики действующему законодательству и общепринятым нормам. </w:t>
      </w:r>
      <w:r>
        <w:rPr>
          <w:rFonts w:ascii="Times New Roman" w:hAnsi="Times New Roman"/>
          <w:sz w:val="24"/>
          <w:szCs w:val="24"/>
        </w:rPr>
        <w:t>(Настоящая антикоррупционная политика соответствует Конституции Российской Федерации, законодательству Российской Федерации и иным нормативно-правовым актам, применимым к Департаменту).</w:t>
      </w:r>
    </w:p>
    <w:p w:rsidR="00C708B9" w:rsidRDefault="00C708B9" w:rsidP="00C708B9">
      <w:pPr>
        <w:pStyle w:val="1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Принцип личного примера руководства</w:t>
      </w:r>
      <w:r>
        <w:rPr>
          <w:rFonts w:ascii="Times New Roman" w:hAnsi="Times New Roman"/>
          <w:sz w:val="24"/>
          <w:szCs w:val="24"/>
        </w:rPr>
        <w:t>. (Ключевая роль директора Департамента в формировании культуры нетерпимости к коррупции и в создании антикоррупционной системы предупреждения и противодействия коррупции в Департаменте).</w:t>
      </w:r>
    </w:p>
    <w:p w:rsidR="00C708B9" w:rsidRDefault="00C708B9" w:rsidP="00C708B9">
      <w:pPr>
        <w:pStyle w:val="1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i/>
          <w:sz w:val="24"/>
          <w:szCs w:val="24"/>
        </w:rPr>
        <w:t>Принцип вовлеченности работников</w:t>
      </w:r>
      <w:r>
        <w:rPr>
          <w:rFonts w:ascii="Times New Roman" w:hAnsi="Times New Roman"/>
          <w:sz w:val="24"/>
          <w:szCs w:val="24"/>
        </w:rPr>
        <w:t>. (В Департаменте регулярно информируют работников о положениях антикоррупционного законодательства и активно привлекают к участию в формировании и реализации антикоррупционных процедур).</w:t>
      </w:r>
    </w:p>
    <w:p w:rsidR="00C708B9" w:rsidRDefault="00C708B9" w:rsidP="00C708B9">
      <w:pPr>
        <w:pStyle w:val="1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Принцип соразмерности антикоррупционных процедур риску коррупции. (</w:t>
      </w:r>
      <w:r>
        <w:rPr>
          <w:rFonts w:ascii="Times New Roman" w:hAnsi="Times New Roman"/>
          <w:sz w:val="24"/>
          <w:szCs w:val="24"/>
        </w:rPr>
        <w:t>В Департаменте разработаны и выполняется комплекс мероприятий, позволяющих снизить вероятность вовлечения Департамента, ее директора  и сотрудников в коррупционную деятельность).</w:t>
      </w:r>
    </w:p>
    <w:p w:rsidR="00C708B9" w:rsidRDefault="00C708B9" w:rsidP="00C708B9">
      <w:pPr>
        <w:pStyle w:val="1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Принцип эффективности антикоррупционных процедур.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Применение в Департаменте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приносят значимый результат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).</w:t>
      </w:r>
    </w:p>
    <w:p w:rsidR="00C708B9" w:rsidRDefault="00C708B9" w:rsidP="00C708B9">
      <w:pPr>
        <w:pStyle w:val="1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Принцип ответственности и неотвратимости наказания. </w:t>
      </w:r>
      <w:r>
        <w:rPr>
          <w:rFonts w:ascii="Times New Roman" w:hAnsi="Times New Roman"/>
          <w:sz w:val="24"/>
          <w:szCs w:val="24"/>
        </w:rPr>
        <w:t xml:space="preserve">(Неотвратимость наказания для сотрудников Департамента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</w:t>
      </w:r>
      <w:proofErr w:type="gramStart"/>
      <w:r>
        <w:rPr>
          <w:rFonts w:ascii="Times New Roman" w:hAnsi="Times New Roman"/>
          <w:sz w:val="24"/>
          <w:szCs w:val="24"/>
        </w:rPr>
        <w:t>обязанностей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персональная ответственность руководства за реализацию внутриорганизационной антикоррупционной политики).</w:t>
      </w:r>
    </w:p>
    <w:p w:rsidR="00C708B9" w:rsidRDefault="00C708B9" w:rsidP="00C708B9">
      <w:pPr>
        <w:pStyle w:val="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Принцип постоянного контроля и регулярного мониторинга.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связи с возможным изменением во времени коррупционных рисков и иных факторов, оказывающих влияние на хозяйственную деятельность, Департамент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</w:t>
      </w:r>
      <w:r>
        <w:rPr>
          <w:rFonts w:ascii="Times New Roman" w:hAnsi="Times New Roman"/>
          <w:sz w:val="24"/>
          <w:szCs w:val="24"/>
        </w:rPr>
        <w:t>).</w:t>
      </w:r>
    </w:p>
    <w:p w:rsidR="00C708B9" w:rsidRDefault="00C708B9" w:rsidP="00C708B9">
      <w:pPr>
        <w:pStyle w:val="Default"/>
        <w:jc w:val="center"/>
      </w:pPr>
    </w:p>
    <w:p w:rsidR="00C708B9" w:rsidRDefault="00C708B9" w:rsidP="00C708B9">
      <w:pPr>
        <w:pStyle w:val="Default"/>
        <w:jc w:val="center"/>
        <w:rPr>
          <w:color w:val="auto"/>
        </w:rPr>
      </w:pPr>
      <w:r>
        <w:rPr>
          <w:color w:val="auto"/>
        </w:rPr>
        <w:t>4. Область применения Антикоррупционной политики и</w:t>
      </w:r>
    </w:p>
    <w:p w:rsidR="00C708B9" w:rsidRDefault="00C708B9" w:rsidP="00C708B9">
      <w:pPr>
        <w:jc w:val="center"/>
      </w:pPr>
      <w:r>
        <w:t>круг, лиц попадающих под ее действие</w:t>
      </w:r>
    </w:p>
    <w:p w:rsidR="00C708B9" w:rsidRDefault="00C708B9" w:rsidP="00C708B9">
      <w:pPr>
        <w:pStyle w:val="Default"/>
      </w:pPr>
    </w:p>
    <w:p w:rsidR="00C708B9" w:rsidRDefault="00C708B9" w:rsidP="00C708B9">
      <w:pPr>
        <w:pStyle w:val="Default"/>
        <w:ind w:firstLine="709"/>
        <w:jc w:val="both"/>
      </w:pPr>
      <w:r>
        <w:t xml:space="preserve">4.1. Основным кругом лиц, попадающих под действие политики, являются сотрудники Департамента, находящиеся с ней в трудовых отношениях, вне зависимости от занимаемой должности и выполняемых функций. </w:t>
      </w:r>
    </w:p>
    <w:p w:rsidR="00C708B9" w:rsidRDefault="00C708B9" w:rsidP="00C708B9">
      <w:pPr>
        <w:pStyle w:val="Default"/>
        <w:ind w:firstLine="709"/>
        <w:jc w:val="both"/>
      </w:pPr>
      <w:r>
        <w:t xml:space="preserve">4.2. Обязанности сотрудников  организации в связи с предупреждением и противодействием коррупции: </w:t>
      </w:r>
    </w:p>
    <w:p w:rsidR="00C708B9" w:rsidRDefault="00C708B9" w:rsidP="00C708B9">
      <w:pPr>
        <w:pStyle w:val="Default"/>
        <w:ind w:firstLine="709"/>
        <w:jc w:val="both"/>
      </w:pPr>
      <w:r>
        <w:t xml:space="preserve">4.2.1. Воздерживаться: </w:t>
      </w:r>
    </w:p>
    <w:p w:rsidR="00C708B9" w:rsidRDefault="00C708B9" w:rsidP="00C708B9">
      <w:pPr>
        <w:pStyle w:val="Default"/>
        <w:ind w:firstLine="709"/>
        <w:jc w:val="both"/>
      </w:pPr>
      <w:r>
        <w:t xml:space="preserve">- от совершения и (или) участия в совершении коррупционных правонарушений в интересах или от имени Департамента; </w:t>
      </w:r>
    </w:p>
    <w:p w:rsidR="00C708B9" w:rsidRDefault="00C708B9" w:rsidP="00C708B9">
      <w:pPr>
        <w:pStyle w:val="Default"/>
        <w:ind w:firstLine="709"/>
        <w:jc w:val="both"/>
      </w:pPr>
      <w:r>
        <w:t xml:space="preserve"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C708B9" w:rsidRDefault="00C708B9" w:rsidP="00C708B9">
      <w:pPr>
        <w:pStyle w:val="Default"/>
        <w:ind w:firstLine="709"/>
        <w:jc w:val="both"/>
      </w:pPr>
      <w:r>
        <w:t xml:space="preserve">4.2.2. Незамедлительно информировать руководителя и (или) лицо, ответственное за реализацию антикоррупционной политики: </w:t>
      </w:r>
    </w:p>
    <w:p w:rsidR="00C708B9" w:rsidRDefault="00C708B9" w:rsidP="00C708B9">
      <w:pPr>
        <w:pStyle w:val="Default"/>
        <w:ind w:firstLine="709"/>
        <w:jc w:val="both"/>
      </w:pPr>
      <w:r>
        <w:t xml:space="preserve">-  о случаях склонения сотрудника  к совершению коррупционных правонарушений; </w:t>
      </w:r>
    </w:p>
    <w:p w:rsidR="00C708B9" w:rsidRDefault="00C708B9" w:rsidP="00C708B9">
      <w:pPr>
        <w:pStyle w:val="Default"/>
        <w:ind w:firstLine="709"/>
        <w:jc w:val="both"/>
      </w:pPr>
      <w:r>
        <w:t xml:space="preserve">- о ставшей известной сотруднику информации о случаях совершения коррупционных правонарушений другими сотрудниками, контрагентами организации или иными лицами; </w:t>
      </w:r>
    </w:p>
    <w:p w:rsidR="00C708B9" w:rsidRDefault="00C708B9" w:rsidP="00C708B9">
      <w:pPr>
        <w:pStyle w:val="Default"/>
        <w:ind w:firstLine="709"/>
        <w:jc w:val="both"/>
      </w:pPr>
      <w:r>
        <w:t>4.2.3. Сообщать непосредственному начальнику или иному ответственному лицу о возможности возникновения либо возникшем у сотрудника конфликте интересов.</w:t>
      </w:r>
    </w:p>
    <w:p w:rsidR="00C708B9" w:rsidRDefault="00C708B9" w:rsidP="00C708B9">
      <w:pPr>
        <w:pStyle w:val="Default"/>
      </w:pPr>
      <w:r>
        <w:tab/>
      </w:r>
    </w:p>
    <w:p w:rsidR="00C708B9" w:rsidRDefault="00C708B9" w:rsidP="00C708B9">
      <w:pPr>
        <w:pStyle w:val="Default"/>
        <w:rPr>
          <w:color w:val="FF0000"/>
        </w:rPr>
      </w:pPr>
    </w:p>
    <w:p w:rsidR="00C708B9" w:rsidRDefault="00C708B9" w:rsidP="00C708B9">
      <w:pPr>
        <w:jc w:val="center"/>
        <w:rPr>
          <w:color w:val="000000"/>
        </w:rPr>
      </w:pPr>
      <w:r>
        <w:rPr>
          <w:color w:val="000000"/>
        </w:rPr>
        <w:t xml:space="preserve">5. Перечень реализуемых Департаментом антикоррупционных мероприятий, </w:t>
      </w:r>
    </w:p>
    <w:p w:rsidR="00C708B9" w:rsidRDefault="00C708B9" w:rsidP="00C708B9">
      <w:pPr>
        <w:jc w:val="center"/>
        <w:rPr>
          <w:color w:val="000000"/>
        </w:rPr>
      </w:pPr>
      <w:r>
        <w:rPr>
          <w:color w:val="000000"/>
        </w:rPr>
        <w:t>стандартов и процедур и порядок их выполнения (применения)</w:t>
      </w:r>
    </w:p>
    <w:p w:rsidR="00C708B9" w:rsidRDefault="00C708B9" w:rsidP="00C708B9">
      <w:pPr>
        <w:spacing w:before="100" w:beforeAutospacing="1" w:after="100" w:afterAutospacing="1"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антикоррупционную политику включаются следующий перечень мероприятий, которые Департамент планирует реализовать в целях предупреждения коррупции: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97"/>
      </w:tblGrid>
      <w:tr w:rsidR="00C708B9" w:rsidTr="00C708B9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B9" w:rsidRDefault="00C708B9">
            <w:pPr>
              <w:spacing w:before="100" w:beforeAutospacing="1" w:after="100" w:afterAutospacing="1" w:line="234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Направление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B9" w:rsidRDefault="00C708B9">
            <w:pPr>
              <w:spacing w:before="100" w:beforeAutospacing="1" w:after="100" w:afterAutospacing="1" w:line="234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Мероприятие</w:t>
            </w:r>
          </w:p>
        </w:tc>
      </w:tr>
      <w:tr w:rsidR="00C708B9" w:rsidTr="00C708B9">
        <w:trPr>
          <w:tblCellSpacing w:w="0" w:type="dxa"/>
        </w:trPr>
        <w:tc>
          <w:tcPr>
            <w:tcW w:w="4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B9" w:rsidRDefault="00C708B9">
            <w:pPr>
              <w:spacing w:before="100" w:beforeAutospacing="1" w:after="100" w:afterAutospacing="1" w:line="234" w:lineRule="atLeast"/>
              <w:jc w:val="both"/>
            </w:pPr>
            <w:r>
              <w:t>Обучение и информирование работников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B9" w:rsidRDefault="00C708B9">
            <w:pPr>
              <w:spacing w:before="100" w:beforeAutospacing="1" w:after="100" w:afterAutospacing="1" w:line="234" w:lineRule="atLeast"/>
              <w:jc w:val="both"/>
            </w:pPr>
            <w: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C708B9" w:rsidTr="00C708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B9" w:rsidRDefault="00C708B9"/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B9" w:rsidRDefault="00C708B9">
            <w:pPr>
              <w:spacing w:before="100" w:beforeAutospacing="1" w:after="100" w:afterAutospacing="1" w:line="234" w:lineRule="atLeast"/>
              <w:jc w:val="both"/>
            </w:pPr>
            <w:r>
              <w:t>Проведение обучающих мероприятий по вопросам профилактики и противодействия коррупции (лекций, оформление информационных стендов)</w:t>
            </w:r>
          </w:p>
        </w:tc>
      </w:tr>
      <w:tr w:rsidR="00C708B9" w:rsidTr="00C708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B9" w:rsidRDefault="00C708B9"/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B9" w:rsidRDefault="00C708B9">
            <w:pPr>
              <w:spacing w:before="100" w:beforeAutospacing="1" w:after="100" w:afterAutospacing="1" w:line="234" w:lineRule="atLeast"/>
              <w:jc w:val="both"/>
            </w:pPr>
            <w: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C708B9" w:rsidTr="00C708B9">
        <w:trPr>
          <w:tblCellSpacing w:w="0" w:type="dxa"/>
        </w:trPr>
        <w:tc>
          <w:tcPr>
            <w:tcW w:w="4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B9" w:rsidRDefault="00C708B9">
            <w:pPr>
              <w:spacing w:before="100" w:beforeAutospacing="1" w:after="100" w:afterAutospacing="1" w:line="234" w:lineRule="atLeast"/>
              <w:jc w:val="both"/>
            </w:pPr>
            <w:r>
              <w:t>Обеспечение соответствия системы внутреннего контроля и аудита организации требованиям антикоррупционной политики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B9" w:rsidRDefault="00C708B9">
            <w:pPr>
              <w:spacing w:before="100" w:beforeAutospacing="1" w:after="100" w:afterAutospacing="1" w:line="234" w:lineRule="atLeast"/>
              <w:jc w:val="both"/>
            </w:pPr>
            <w:r>
              <w:t>Осуществление регулярного контроля соблюдения внутренних процедур</w:t>
            </w:r>
          </w:p>
        </w:tc>
      </w:tr>
      <w:tr w:rsidR="00C708B9" w:rsidTr="00C708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B9" w:rsidRDefault="00C708B9"/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B9" w:rsidRDefault="00C708B9">
            <w:pPr>
              <w:spacing w:before="100" w:beforeAutospacing="1" w:after="100" w:afterAutospacing="1" w:line="234" w:lineRule="atLeast"/>
              <w:jc w:val="both"/>
            </w:pPr>
            <w: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C708B9" w:rsidTr="00C708B9">
        <w:trPr>
          <w:tblCellSpacing w:w="0" w:type="dxa"/>
        </w:trPr>
        <w:tc>
          <w:tcPr>
            <w:tcW w:w="4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B9" w:rsidRDefault="00C708B9">
            <w:pPr>
              <w:spacing w:before="100" w:beforeAutospacing="1" w:after="100" w:afterAutospacing="1" w:line="234" w:lineRule="atLeast"/>
              <w:jc w:val="both"/>
            </w:pPr>
            <w:r>
              <w:t>Ведение отчетной работы по результатам проводимой антикоррупционной работы и распространения отчетных материалов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B9" w:rsidRDefault="00C708B9">
            <w:pPr>
              <w:spacing w:before="100" w:beforeAutospacing="1" w:after="100" w:afterAutospacing="1" w:line="234" w:lineRule="atLeast"/>
              <w:jc w:val="both"/>
            </w:pPr>
            <w:r>
              <w:t>Проведение регулярной оценки результатов работы по противодействию коррупции</w:t>
            </w:r>
          </w:p>
        </w:tc>
      </w:tr>
      <w:tr w:rsidR="00C708B9" w:rsidTr="00C708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B9" w:rsidRDefault="00C708B9"/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B9" w:rsidRDefault="00C708B9">
            <w:pPr>
              <w:spacing w:before="100" w:beforeAutospacing="1" w:after="100" w:afterAutospacing="1" w:line="234" w:lineRule="atLeast"/>
              <w:jc w:val="both"/>
            </w:pPr>
            <w: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C708B9" w:rsidRDefault="00C708B9" w:rsidP="00C708B9">
      <w:pPr>
        <w:spacing w:before="100" w:beforeAutospacing="1" w:after="100" w:afterAutospacing="1" w:line="234" w:lineRule="atLeast"/>
        <w:jc w:val="both"/>
        <w:rPr>
          <w:color w:val="000000"/>
        </w:rPr>
      </w:pPr>
      <w:r>
        <w:rPr>
          <w:color w:val="000000"/>
        </w:rPr>
        <w:t>В качестве приложения к антикоррупционной политике утверждается план мероприятий по противодействию коррупции с указанием сроков его проведения и ответственного исполнителя для каждого мероприятий.</w:t>
      </w:r>
    </w:p>
    <w:p w:rsidR="00C708B9" w:rsidRDefault="00C708B9" w:rsidP="00C708B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08B9" w:rsidRDefault="00C708B9" w:rsidP="00C708B9">
      <w:pPr>
        <w:spacing w:before="240" w:after="100" w:afterAutospacing="1"/>
        <w:jc w:val="center"/>
        <w:rPr>
          <w:color w:val="000000"/>
        </w:rPr>
      </w:pPr>
      <w:r>
        <w:rPr>
          <w:color w:val="000000"/>
        </w:rPr>
        <w:t>6. Ответственность сотрудников за несоблюдение требований антикоррупционной политики.</w:t>
      </w:r>
    </w:p>
    <w:p w:rsidR="00C708B9" w:rsidRDefault="00C708B9" w:rsidP="00C708B9">
      <w:pPr>
        <w:spacing w:before="100" w:beforeAutospacing="1" w:after="100" w:afterAutospacing="1" w:line="234" w:lineRule="atLeast"/>
        <w:jc w:val="both"/>
        <w:rPr>
          <w:color w:val="000000"/>
        </w:rPr>
      </w:pPr>
      <w:r>
        <w:rPr>
          <w:color w:val="000000"/>
        </w:rPr>
        <w:t>6.1. Ответственность юридических лиц</w:t>
      </w:r>
    </w:p>
    <w:p w:rsidR="00C708B9" w:rsidRDefault="00C708B9" w:rsidP="00C708B9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Общие нормы:</w:t>
      </w:r>
    </w:p>
    <w:p w:rsidR="00C708B9" w:rsidRDefault="00C708B9" w:rsidP="00C708B9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Общие нормы, устанавливающие ответственность юридических лиц за коррупционные правонарушения, закреплены в статье 14 Федерального закона №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C708B9" w:rsidRDefault="00C708B9" w:rsidP="00C708B9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lastRenderedPageBreak/>
        <w:t xml:space="preserve">Незаконное вознаграждение от имени юридического лица. </w:t>
      </w:r>
      <w:proofErr w:type="gramStart"/>
      <w:r>
        <w:rPr>
          <w:color w:val="000000"/>
        </w:rPr>
        <w:t>Статья 19.28 Кодекса Российской Федерации об административных правонарушениях (далее –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действия</w:t>
      </w:r>
      <w:proofErr w:type="gramEnd"/>
      <w:r>
        <w:rPr>
          <w:color w:val="000000"/>
        </w:rPr>
        <w:t xml:space="preserve"> (бездействие), связанного с занимаемым ими служебным положением, влечет наложение на юридическое лицо административного штрафа.</w:t>
      </w:r>
    </w:p>
    <w:p w:rsidR="00C708B9" w:rsidRDefault="00C708B9" w:rsidP="00C708B9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Незаконное привлечение к трудовой деятельности бывшего государственного служащего.</w:t>
      </w:r>
    </w:p>
    <w:p w:rsidR="00C708B9" w:rsidRDefault="00C708B9" w:rsidP="00C708B9">
      <w:pPr>
        <w:spacing w:before="100" w:beforeAutospacing="1"/>
        <w:jc w:val="both"/>
        <w:rPr>
          <w:color w:val="000000"/>
        </w:rPr>
      </w:pPr>
      <w:proofErr w:type="gramStart"/>
      <w:r>
        <w:rPr>
          <w:color w:val="000000"/>
        </w:rPr>
        <w:t>Организации должны учитывать положения статьи 12 Федерального закона № 273-ФЗ, устанавливающие ограничения для гражданина, замещающего должность государственной, замещавшего должность государственной или муниципальной службы при заключении им трудового или гражданско-правового договора.</w:t>
      </w:r>
      <w:proofErr w:type="gramEnd"/>
    </w:p>
    <w:p w:rsidR="00C708B9" w:rsidRDefault="00C708B9" w:rsidP="00C708B9">
      <w:pPr>
        <w:spacing w:before="100" w:beforeAutospacing="1"/>
        <w:jc w:val="both"/>
        <w:rPr>
          <w:color w:val="000000"/>
        </w:rPr>
      </w:pPr>
      <w:proofErr w:type="gramStart"/>
      <w:r>
        <w:rPr>
          <w:color w:val="000000"/>
        </w:rPr>
        <w:t>В частности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>
        <w:rPr>
          <w:color w:val="000000"/>
        </w:rPr>
        <w:t xml:space="preserve"> месту его службы.</w:t>
      </w:r>
    </w:p>
    <w:p w:rsidR="00C708B9" w:rsidRDefault="00C708B9" w:rsidP="00C708B9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Порядок представления работодателями указанной информации закреплен в постановлении Правительства Российской Федерации от 8 сентября 2010 г. № 700. Лицо, ответственное за предоставление указанной информации назначается приказом директора.</w:t>
      </w:r>
    </w:p>
    <w:p w:rsidR="00C708B9" w:rsidRDefault="00C708B9" w:rsidP="00C708B9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Неисполнение работодателем обязанности, предусмотренной частью 4 статьи 12 Федерального закона № 273-ФЗ, является правонарушением и влечет в соответствии со статьей 19.29 КоАП РФ ответственность в виде административного штрафа..</w:t>
      </w:r>
    </w:p>
    <w:p w:rsidR="00C708B9" w:rsidRDefault="00C708B9" w:rsidP="00C708B9">
      <w:pPr>
        <w:spacing w:before="100" w:beforeAutospacing="1" w:after="100" w:afterAutospacing="1" w:line="234" w:lineRule="atLeast"/>
        <w:jc w:val="both"/>
        <w:rPr>
          <w:color w:val="000000"/>
        </w:rPr>
      </w:pPr>
      <w:r>
        <w:rPr>
          <w:color w:val="000000"/>
        </w:rPr>
        <w:t>6.2 Ответственность физических лиц</w:t>
      </w:r>
    </w:p>
    <w:p w:rsidR="00C708B9" w:rsidRDefault="00C708B9" w:rsidP="00C708B9">
      <w:pPr>
        <w:spacing w:before="100" w:beforeAutospacing="1" w:line="234" w:lineRule="atLeast"/>
        <w:jc w:val="both"/>
        <w:rPr>
          <w:color w:val="000000"/>
        </w:rPr>
      </w:pPr>
      <w:r>
        <w:rPr>
          <w:color w:val="000000"/>
        </w:rPr>
        <w:t>Ответственность физических лиц за коррупционное правонарушение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708B9" w:rsidRDefault="00C708B9" w:rsidP="00C708B9">
      <w:pPr>
        <w:spacing w:before="100" w:beforeAutospacing="1" w:line="234" w:lineRule="atLeast"/>
        <w:jc w:val="both"/>
        <w:rPr>
          <w:color w:val="000000"/>
        </w:rPr>
      </w:pPr>
      <w:r>
        <w:rPr>
          <w:color w:val="000000"/>
        </w:rPr>
        <w:t xml:space="preserve">Трудовое законодательство не предусматривает специальных оснований </w:t>
      </w:r>
      <w:proofErr w:type="gramStart"/>
      <w:r>
        <w:rPr>
          <w:color w:val="000000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>
        <w:rPr>
          <w:color w:val="000000"/>
        </w:rPr>
        <w:t xml:space="preserve"> или от имени организации.</w:t>
      </w:r>
    </w:p>
    <w:p w:rsidR="00C708B9" w:rsidRDefault="00C708B9" w:rsidP="00C708B9">
      <w:pPr>
        <w:spacing w:before="100" w:beforeAutospacing="1" w:after="100" w:afterAutospacing="1" w:line="234" w:lineRule="atLeast"/>
        <w:jc w:val="both"/>
        <w:rPr>
          <w:color w:val="000000"/>
        </w:rPr>
      </w:pPr>
      <w:r>
        <w:rPr>
          <w:color w:val="000000"/>
        </w:rPr>
        <w:t>Тем не менее, в Федеральном Законе № 79-ФЗ существует возможность привлечения работника организации к дисциплинарной ответственности.</w:t>
      </w:r>
    </w:p>
    <w:p w:rsidR="00C708B9" w:rsidRDefault="00C708B9" w:rsidP="00C708B9">
      <w:pPr>
        <w:spacing w:before="100" w:beforeAutospacing="1" w:after="100" w:afterAutospacing="1" w:line="234" w:lineRule="atLeast"/>
        <w:jc w:val="both"/>
        <w:rPr>
          <w:color w:val="000000"/>
        </w:rPr>
      </w:pPr>
      <w:r>
        <w:rPr>
          <w:color w:val="000000"/>
        </w:rPr>
        <w:t xml:space="preserve">Так, согласно статье 57 к дисциплинарным взысканиям, в частности, относиться увольнение работника по основаниям, предусмотренным  пунктом 2, подпунктами </w:t>
      </w:r>
      <w:proofErr w:type="gramStart"/>
      <w:r>
        <w:rPr>
          <w:color w:val="000000"/>
        </w:rPr>
        <w:t>а-г</w:t>
      </w:r>
      <w:proofErr w:type="gramEnd"/>
      <w:r>
        <w:rPr>
          <w:color w:val="000000"/>
        </w:rPr>
        <w:t xml:space="preserve"> пункта 3, пунктами 5 и 6 части 1 статьи 37 Федерального закона № 79-ФЗ.</w:t>
      </w:r>
    </w:p>
    <w:p w:rsidR="00C708B9" w:rsidRDefault="00C708B9" w:rsidP="00C708B9">
      <w:pPr>
        <w:pStyle w:val="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Внесение изменений</w:t>
      </w:r>
    </w:p>
    <w:p w:rsidR="00C708B9" w:rsidRDefault="00C708B9" w:rsidP="00C708B9">
      <w:pPr>
        <w:tabs>
          <w:tab w:val="left" w:pos="709"/>
        </w:tabs>
        <w:jc w:val="both"/>
      </w:pPr>
    </w:p>
    <w:p w:rsidR="00C708B9" w:rsidRDefault="00C708B9" w:rsidP="00C708B9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7.1.При выявлении недостаточно эффективных положений Антикоррупционных политики Учреждения либо при изменении требований законодательства Российской Федерации Департамент организует выработку и реализацию плана действий по актуализации Антикоррупционной политики Департамента.</w:t>
      </w:r>
    </w:p>
    <w:p w:rsidR="008B5141" w:rsidRDefault="008B5141">
      <w:bookmarkStart w:id="0" w:name="_GoBack"/>
      <w:bookmarkEnd w:id="0"/>
    </w:p>
    <w:sectPr w:rsidR="008B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2F53"/>
    <w:multiLevelType w:val="multilevel"/>
    <w:tmpl w:val="D5F6CE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7F082AB4"/>
    <w:multiLevelType w:val="multilevel"/>
    <w:tmpl w:val="455C4874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B9"/>
    <w:rsid w:val="008B5141"/>
    <w:rsid w:val="00C7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08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70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08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70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Лёшина Ольга Владимировна</dc:creator>
  <cp:lastModifiedBy>Лёшина Ольга Владимировна</cp:lastModifiedBy>
  <cp:revision>1</cp:revision>
  <dcterms:created xsi:type="dcterms:W3CDTF">2017-09-20T07:28:00Z</dcterms:created>
  <dcterms:modified xsi:type="dcterms:W3CDTF">2017-09-20T07:29:00Z</dcterms:modified>
</cp:coreProperties>
</file>