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Default="0042585A" w:rsidP="00580BF3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6C132F">
        <w:rPr>
          <w:sz w:val="28"/>
          <w:szCs w:val="28"/>
        </w:rPr>
        <w:t>Об утверждении Порядка реализации полномочий по предоставлению ежегодной денежной выплаты гражданам, награждённым нагрудным знаком «Почётный донор России» или нагрудным знаком «Почётный донор СССР», на территории Ульяновской области»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1335FD"/>
    <w:rsid w:val="00152D26"/>
    <w:rsid w:val="001877BA"/>
    <w:rsid w:val="001D6656"/>
    <w:rsid w:val="002513C2"/>
    <w:rsid w:val="002C2A68"/>
    <w:rsid w:val="002D5AFD"/>
    <w:rsid w:val="002E4273"/>
    <w:rsid w:val="00342A18"/>
    <w:rsid w:val="003E27F6"/>
    <w:rsid w:val="0042585A"/>
    <w:rsid w:val="00490C04"/>
    <w:rsid w:val="00517D58"/>
    <w:rsid w:val="005577D6"/>
    <w:rsid w:val="00580BF3"/>
    <w:rsid w:val="005B1A26"/>
    <w:rsid w:val="006C132F"/>
    <w:rsid w:val="006C2A28"/>
    <w:rsid w:val="007801F6"/>
    <w:rsid w:val="00790FA4"/>
    <w:rsid w:val="007B24FF"/>
    <w:rsid w:val="008006DF"/>
    <w:rsid w:val="008C39F4"/>
    <w:rsid w:val="0091447D"/>
    <w:rsid w:val="00955F1C"/>
    <w:rsid w:val="00B27944"/>
    <w:rsid w:val="00B467FB"/>
    <w:rsid w:val="00B81AC1"/>
    <w:rsid w:val="00BB4C4E"/>
    <w:rsid w:val="00C339A0"/>
    <w:rsid w:val="00C434B3"/>
    <w:rsid w:val="00D95858"/>
    <w:rsid w:val="00E76300"/>
    <w:rsid w:val="00EF7210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17</cp:revision>
  <cp:lastPrinted>2012-02-09T05:23:00Z</cp:lastPrinted>
  <dcterms:created xsi:type="dcterms:W3CDTF">2011-04-07T10:20:00Z</dcterms:created>
  <dcterms:modified xsi:type="dcterms:W3CDTF">2012-04-24T09:41:00Z</dcterms:modified>
</cp:coreProperties>
</file>